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AA" w:rsidRPr="00DE12AA" w:rsidRDefault="00DE12AA" w:rsidP="00DE12AA">
      <w:pPr>
        <w:spacing w:after="225" w:line="240" w:lineRule="auto"/>
        <w:jc w:val="center"/>
        <w:textAlignment w:val="baseline"/>
        <w:rPr>
          <w:rFonts w:ascii="Minion Pro" w:eastAsia="Times New Roman" w:hAnsi="Minion Pro" w:cs="Times New Roman"/>
          <w:b/>
          <w:bCs/>
          <w:color w:val="000000"/>
          <w:sz w:val="40"/>
          <w:szCs w:val="40"/>
          <w:lang w:eastAsia="hr-HR"/>
        </w:rPr>
      </w:pPr>
      <w:r w:rsidRPr="00DE12AA">
        <w:rPr>
          <w:rFonts w:ascii="Minion Pro" w:eastAsia="Times New Roman" w:hAnsi="Minion Pro" w:cs="Times New Roman"/>
          <w:b/>
          <w:bCs/>
          <w:color w:val="000000"/>
          <w:sz w:val="40"/>
          <w:szCs w:val="40"/>
          <w:lang w:eastAsia="hr-HR"/>
        </w:rPr>
        <w:t>MINISTARSTVO RADA I MIROVINSKOGA SUSTAVA</w:t>
      </w:r>
    </w:p>
    <w:p w:rsidR="00DE12AA" w:rsidRPr="00DE12AA" w:rsidRDefault="00DE12AA" w:rsidP="00DE12AA">
      <w:pPr>
        <w:spacing w:after="225" w:line="240" w:lineRule="auto"/>
        <w:jc w:val="right"/>
        <w:textAlignment w:val="baseline"/>
        <w:rPr>
          <w:rFonts w:ascii="Minion Pro" w:eastAsia="Times New Roman" w:hAnsi="Minion Pro" w:cs="Times New Roman"/>
          <w:b/>
          <w:bCs/>
          <w:color w:val="000000"/>
          <w:sz w:val="26"/>
          <w:szCs w:val="26"/>
          <w:lang w:eastAsia="hr-HR"/>
        </w:rPr>
      </w:pPr>
      <w:r w:rsidRPr="00DE12AA">
        <w:rPr>
          <w:rFonts w:ascii="Minion Pro" w:eastAsia="Times New Roman" w:hAnsi="Minion Pro" w:cs="Times New Roman"/>
          <w:b/>
          <w:bCs/>
          <w:color w:val="000000"/>
          <w:sz w:val="26"/>
          <w:szCs w:val="26"/>
          <w:lang w:eastAsia="hr-HR"/>
        </w:rPr>
        <w:t>2154</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Na temelju članka 18. stavka 6. Zakona o zaštiti na radu (»Narodne novine«, broj 71/2014) ministar nadležan za rad donosi</w:t>
      </w:r>
    </w:p>
    <w:p w:rsidR="00DE12AA" w:rsidRPr="00DE12AA" w:rsidRDefault="00DE12AA" w:rsidP="00DE12AA">
      <w:pPr>
        <w:spacing w:after="225" w:line="240" w:lineRule="auto"/>
        <w:jc w:val="center"/>
        <w:textAlignment w:val="baseline"/>
        <w:rPr>
          <w:rFonts w:ascii="Minion Pro" w:eastAsia="Times New Roman" w:hAnsi="Minion Pro" w:cs="Times New Roman"/>
          <w:b/>
          <w:bCs/>
          <w:color w:val="000000"/>
          <w:sz w:val="36"/>
          <w:szCs w:val="36"/>
          <w:lang w:eastAsia="hr-HR"/>
        </w:rPr>
      </w:pPr>
      <w:r w:rsidRPr="00DE12AA">
        <w:rPr>
          <w:rFonts w:ascii="Minion Pro" w:eastAsia="Times New Roman" w:hAnsi="Minion Pro" w:cs="Times New Roman"/>
          <w:b/>
          <w:bCs/>
          <w:color w:val="000000"/>
          <w:sz w:val="36"/>
          <w:szCs w:val="36"/>
          <w:lang w:eastAsia="hr-HR"/>
        </w:rPr>
        <w:t>PRAVILNIK</w:t>
      </w:r>
    </w:p>
    <w:p w:rsidR="00DE12AA" w:rsidRPr="00DE12AA" w:rsidRDefault="00DE12AA" w:rsidP="00DE12AA">
      <w:pPr>
        <w:spacing w:after="225" w:line="240" w:lineRule="auto"/>
        <w:jc w:val="center"/>
        <w:textAlignment w:val="baseline"/>
        <w:rPr>
          <w:rFonts w:ascii="Minion Pro" w:eastAsia="Times New Roman" w:hAnsi="Minion Pro" w:cs="Times New Roman"/>
          <w:b/>
          <w:bCs/>
          <w:color w:val="000000"/>
          <w:sz w:val="28"/>
          <w:szCs w:val="28"/>
          <w:lang w:eastAsia="hr-HR"/>
        </w:rPr>
      </w:pPr>
      <w:r w:rsidRPr="00DE12AA">
        <w:rPr>
          <w:rFonts w:ascii="Minion Pro" w:eastAsia="Times New Roman" w:hAnsi="Minion Pro" w:cs="Times New Roman"/>
          <w:b/>
          <w:bCs/>
          <w:color w:val="000000"/>
          <w:sz w:val="28"/>
          <w:szCs w:val="28"/>
          <w:lang w:eastAsia="hr-HR"/>
        </w:rPr>
        <w:t>O IZRADI PROCJENE RIZIKA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Ovim Pravilnikom se propisuju uvjeti, način i metoda izrade procjene rizika, obvezni sadržaji obuhvaćeni procjenom i podaci na kojima se procjena rizika temelji te klasifikaciju opasnosti, štetnosti i napora na radu i u vezi s radom.</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Ovaj pravilnik propisuje minimalne zahtjeve koje je potrebno ispuniti kod procjenjivanja rizika ali ne utječe na primjenu drugih priznatih načina i metoda procjene rizika nakon što su ispunjeni propisani minimalni zahtjevi.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Procjena rizika je postupak koji provodi poslodavac za sve poslove.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 Izrazi koji se koriste u ovom Pravilniku, a imaju rodno značenje, koriste se neutralno i odnose se jednako na muški i ženski rod.</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2.</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Procjena rizika je postupak kojim se utvrđuje razina opasnosti, štetnosti i napora u smislu nastanka ozljede na radu, profesionalne bolesti, bolesti u svezi s radom te poremećaja u procesu rada koji bi mogao izazvati štetne posljedice za sigurnost i zdravlje radnika.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3.</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Procjenu rizika mogu izrađivati osobe ovlaštene za izradu procjene rizika.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Procjenu rizika za vlastite potrebe može izrađivati poslodavac.</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4.</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Poslodavac je obvezan imati izrađenu procjenu rizika za sve poslove koje za njega obavljaju radnici i osobe na radu.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Procjena rizika mora odgovarati postojećim opasnostima, štetnostima odnosno naporima.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5.</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Postupak procjenjivanja rizika iz članka 2. ovoga Pravilnika se sastoji od:</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prikupljanja podataka na mjestu rada,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2) analize i procjene prikupljenih podataka što uključuje: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utvrđivanje opasnosti, štetnosti i napora,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procjenjivanje opasnosti, štetnosti i napora,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utvrđivanje mjera za uklanjanje odnosno smanjivanje opasnosti, štetnosti odnosno napora, 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plana mjera za uklanjanje odnosno smanjivanje razine opasnosti, štetnosti i napora koji mora sadržavati: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rokove,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ovlaštenike odgovorne za provedbu mjera te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 način kontrole nad provedbom mjera.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 dokumentiranja procjene rizika.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6.</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Prikupljanje podataka uključuje: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poslove koji se obavljaju na mjestu rada,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broj radnika koji obavljaju iste poslove,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mjesta rada gdje se poslovi obavljaju,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 uređenje mjesta rada,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5) popis radne opreme,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6) popis izvora fizikalnih, kemijskih i bioloških štetnosti 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7) organizaciju rada i raspored radnog vremena,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7.</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Procjenjivanje rizika se provodi u skladu s Matricom procjene rizika prema općim kriterijima razine rizika (vjerojatnost, posljedica) iz Priloga I. ovoga Pravilnika koji čini njegov sastavni dio.</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Rizik se procjenjuje kao:</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mali rizik,</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srednji rizik ili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veliki rizik.</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Procjenjivanje rizika se provodi uz aktivno sudjelovanje radnika koji obavljaju poslove i uvažavanje njihovih stavova.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(4) Pri procjenjivanju rizika se moraju uvažiti provedbeni propisi iz zaštite na radu (kao što su propisi za osobnu zaštitnu opremu, za ručno prenošenje tereta, za rad sa zaslonima, za radnu opremu, za fizikalna, kemijska i biološka štetna djelovanja) te smjernice iz zaštite na radu (kao što su smjernice o procjeni kemijskih, fizikalnih i bioloških štetnih djelovanja i industrijskih procesa opasnih ili štetnih za sigurnost i zdravlje trudnica, osoba koje su rodile ili doje).</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8.</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U procjeni rizika je potrebno dati napomene vezano za zahtjeve posebnih propisa i smjernica zaštite na radu.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Primjer poslova s malim rizicima nalazi se u Prilogu II. ovoga Pravilnika, koji čini njegov sastavni dio.</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Poslovi s velikim rizicima su, između ostalog, utvrđeni posebnim propisom o poslovima s posebnim uvjetima rada.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 Klasifikacija opasnosti, štetnosti i napora na radu i u vezi s radom se nalazi u Prilogu III. ovoga Pravilnika i čini njegov sastavni dio.</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9.</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Poslodavac je obvezan na temelju procjene rizika primjenjivati pravila, mjere, postupke i aktivnosti za sprječavanje i smanjivanje rizika te osiguravati višu razine zaštite na radu.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Poslodavac mora odrediti rokove, ovlaštenike za provedbu te način kontrole nad provedbom mjera iz stavka 1. ovoga članka.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10.</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Poslodavac je obvezan čuvati procjene rizika za poslove koje obavljaju radnici u pisanom ili elektroničkom obliku.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Poslodavac je obvezan dostaviti elektroničku obavijest o procjeni rizika putem informacijskog sustava zaštite na radu Zavodu za unaprjeđivanje zaštite na radu u skladu s provedbenim propisom.</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11.</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Obvezni prilozi uz procjenu rizika su: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 sigurnosni podaci izvora fizikalnih štetnosti, kemikalija, odnosno bioloških agensa koji se koriste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popis radne opreme koja se koristi pri obavljanju poslova,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 popis osobne zaštitne opreme za poslove kod kojih se mora upotrebljavati,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 popis potrebnih ispitivanja,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5) popis poslova s posebnim uvjetima rada</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12.</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(1) Pri procjeni rizika obvezno sudjeluju radnici, odnosno njihovi predstavnici, ovlaštenici i stručnjaci zaštite na radu, a poslodavac po potrebi uključuje i stručnjake iz pojedinih područja.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 O procjeni kao i izmjenama i dopunama procjene rizika, na svojim sjednicama raspravlja odbor zaštite na radu koji prihvaća procjenu rizika ili predlaže ispravke te daje primjedbe i prijedloge.</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13.</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Danom stupanja na snagu ovoga Pravilnika, prestaje važiti Pravilnik o izradi procjene opasnosti (»Narodne novine« broj 48/97, 114/02, 126/03 i 144/09).</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Članak 14.</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Ovaj Pravilnik stupa na snagu osmog dana od dana objave u »Narodnim novinama«.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Klasa: 011-01/14-01/48</w:t>
      </w:r>
      <w:r w:rsidRPr="00DE12AA">
        <w:rPr>
          <w:rFonts w:ascii="Minion Pro" w:eastAsia="Times New Roman" w:hAnsi="Minion Pro" w:cs="Times New Roman"/>
          <w:color w:val="000000"/>
          <w:sz w:val="24"/>
          <w:szCs w:val="24"/>
          <w:lang w:eastAsia="hr-HR"/>
        </w:rPr>
        <w:br/>
      </w:r>
      <w:r w:rsidRPr="00DE12AA">
        <w:rPr>
          <w:rFonts w:ascii="Minion Pro" w:eastAsia="Times New Roman" w:hAnsi="Minion Pro" w:cs="Times New Roman"/>
          <w:color w:val="000000"/>
          <w:sz w:val="24"/>
          <w:szCs w:val="24"/>
          <w:lang w:eastAsia="hr-HR"/>
        </w:rPr>
        <w:br/>
        <w:t>Urbroj: 524-03-02-01/1-14-23</w:t>
      </w:r>
      <w:r w:rsidRPr="00DE12AA">
        <w:rPr>
          <w:rFonts w:ascii="Minion Pro" w:eastAsia="Times New Roman" w:hAnsi="Minion Pro" w:cs="Times New Roman"/>
          <w:color w:val="000000"/>
          <w:sz w:val="24"/>
          <w:szCs w:val="24"/>
          <w:lang w:eastAsia="hr-HR"/>
        </w:rPr>
        <w:br/>
      </w:r>
      <w:r w:rsidRPr="00DE12AA">
        <w:rPr>
          <w:rFonts w:ascii="Minion Pro" w:eastAsia="Times New Roman" w:hAnsi="Minion Pro" w:cs="Times New Roman"/>
          <w:color w:val="000000"/>
          <w:sz w:val="24"/>
          <w:szCs w:val="24"/>
          <w:lang w:eastAsia="hr-HR"/>
        </w:rPr>
        <w:br/>
        <w:t>Zagreb, 16. rujna 2014.</w:t>
      </w:r>
    </w:p>
    <w:p w:rsidR="00DE12AA" w:rsidRPr="00DE12AA" w:rsidRDefault="00DE12AA" w:rsidP="00DE12AA">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Ministar</w:t>
      </w:r>
      <w:r w:rsidRPr="00DE12AA">
        <w:rPr>
          <w:rFonts w:ascii="Minion Pro" w:eastAsia="Times New Roman" w:hAnsi="Minion Pro" w:cs="Times New Roman"/>
          <w:color w:val="000000"/>
          <w:sz w:val="24"/>
          <w:szCs w:val="24"/>
          <w:lang w:eastAsia="hr-HR"/>
        </w:rPr>
        <w:br/>
      </w:r>
      <w:r w:rsidRPr="00DE12AA">
        <w:rPr>
          <w:rFonts w:ascii="Minion Pro" w:eastAsia="Times New Roman" w:hAnsi="Minion Pro" w:cs="Times New Roman"/>
          <w:color w:val="000000"/>
          <w:sz w:val="24"/>
          <w:szCs w:val="24"/>
          <w:lang w:eastAsia="hr-HR"/>
        </w:rPr>
        <w:br/>
      </w:r>
      <w:r w:rsidRPr="00DE12AA">
        <w:rPr>
          <w:rFonts w:ascii="Minion Pro" w:eastAsia="Times New Roman" w:hAnsi="Minion Pro" w:cs="Times New Roman"/>
          <w:b/>
          <w:bCs/>
          <w:color w:val="000000"/>
          <w:sz w:val="24"/>
          <w:szCs w:val="24"/>
          <w:bdr w:val="none" w:sz="0" w:space="0" w:color="auto" w:frame="1"/>
          <w:lang w:eastAsia="hr-HR"/>
        </w:rPr>
        <w:t>prof. dr. sc. Mirando Mrsić, dr. med., </w:t>
      </w:r>
      <w:r w:rsidRPr="00DE12AA">
        <w:rPr>
          <w:rFonts w:ascii="Minion Pro" w:eastAsia="Times New Roman" w:hAnsi="Minion Pro" w:cs="Times New Roman"/>
          <w:color w:val="000000"/>
          <w:sz w:val="24"/>
          <w:szCs w:val="24"/>
          <w:lang w:eastAsia="hr-HR"/>
        </w:rPr>
        <w:t>v. r.</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br/>
      </w:r>
      <w:r w:rsidRPr="00DE12AA">
        <w:rPr>
          <w:rFonts w:ascii="Minion Pro" w:eastAsia="Times New Roman" w:hAnsi="Minion Pro" w:cs="Times New Roman"/>
          <w:b/>
          <w:bCs/>
          <w:color w:val="000000"/>
          <w:sz w:val="24"/>
          <w:szCs w:val="24"/>
          <w:lang w:eastAsia="hr-HR"/>
        </w:rPr>
        <w:t>PRILOG I.</w:t>
      </w:r>
    </w:p>
    <w:p w:rsidR="00DE12AA" w:rsidRPr="00DE12AA" w:rsidRDefault="00DE12AA" w:rsidP="00DE12AA">
      <w:pPr>
        <w:spacing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1. Vjerojatnost</w:t>
      </w:r>
      <w:r w:rsidRPr="00DE12AA">
        <w:rPr>
          <w:rFonts w:ascii="Minion Pro" w:eastAsia="Times New Roman" w:hAnsi="Minion Pro" w:cs="Times New Roman"/>
          <w:color w:val="000000"/>
          <w:sz w:val="24"/>
          <w:szCs w:val="24"/>
          <w:lang w:eastAsia="hr-HR"/>
        </w:rPr>
        <w:t>:</w:t>
      </w:r>
    </w:p>
    <w:tbl>
      <w:tblPr>
        <w:tblW w:w="12120" w:type="dxa"/>
        <w:tblCellSpacing w:w="15" w:type="dxa"/>
        <w:tblCellMar>
          <w:left w:w="0" w:type="dxa"/>
          <w:right w:w="0" w:type="dxa"/>
        </w:tblCellMar>
        <w:tblLook w:val="04A0" w:firstRow="1" w:lastRow="0" w:firstColumn="1" w:lastColumn="0" w:noHBand="0" w:noVBand="1"/>
      </w:tblPr>
      <w:tblGrid>
        <w:gridCol w:w="323"/>
        <w:gridCol w:w="2207"/>
        <w:gridCol w:w="9590"/>
      </w:tblGrid>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Malo 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Ne bi se trebalo dogoditi tijekom cijele profesionalne karijere radnika.</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Može se dogoditi samo nekoliko puta tijekom profesionalne karijere radnika.</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Vrlo 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Može se ponavljati tijekom profesionalne karijere radnika</w:t>
            </w:r>
          </w:p>
        </w:tc>
      </w:tr>
    </w:tbl>
    <w:p w:rsidR="00DE12AA" w:rsidRPr="00DE12AA" w:rsidRDefault="00DE12AA" w:rsidP="00DE12AA">
      <w:pPr>
        <w:spacing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2. Posljedice (veličina posljedica – štetnosti):</w:t>
      </w:r>
    </w:p>
    <w:tbl>
      <w:tblPr>
        <w:tblW w:w="12150" w:type="dxa"/>
        <w:tblCellSpacing w:w="15" w:type="dxa"/>
        <w:tblCellMar>
          <w:left w:w="0" w:type="dxa"/>
          <w:right w:w="0" w:type="dxa"/>
        </w:tblCellMar>
        <w:tblLook w:val="04A0" w:firstRow="1" w:lastRow="0" w:firstColumn="1" w:lastColumn="0" w:noHBand="0" w:noVBand="1"/>
      </w:tblPr>
      <w:tblGrid>
        <w:gridCol w:w="225"/>
        <w:gridCol w:w="1071"/>
        <w:gridCol w:w="10854"/>
      </w:tblGrid>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Malo štetno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Ozljede i bolesti koje ne uzrokuju produženu bol (kao npr. male ogrebotine, iritacije oka, glavobolje itd.).</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Srednje štetno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Ozljede i bolesti koje uzrokuju umjerenu, ali produžene bol ili bol koja se povremeno ponavljaju (kao npr. rane, manji prijelomi, opekotine drugog stupnja na ograničenom dijelu tijela, dermatološke alergije itd.).</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Izrazito štetno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Ozljede i bolesti koje uzrokuju tešku i stalnu bol i/ili smrt (kao npr. amputacije, komplicirani prijelomi, rak, opekotine drugog ili trećeg stupnja na velikom dijelu tijela itd.).</w:t>
            </w:r>
          </w:p>
        </w:tc>
      </w:tr>
    </w:tbl>
    <w:p w:rsidR="00DE12AA" w:rsidRPr="00DE12AA" w:rsidRDefault="00DE12AA" w:rsidP="00DE12AA">
      <w:pPr>
        <w:spacing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3. Matrica procjene rizika:</w:t>
      </w:r>
    </w:p>
    <w:tbl>
      <w:tblPr>
        <w:tblW w:w="12105" w:type="dxa"/>
        <w:tblCellSpacing w:w="15" w:type="dxa"/>
        <w:tblCellMar>
          <w:left w:w="0" w:type="dxa"/>
          <w:right w:w="0" w:type="dxa"/>
        </w:tblCellMar>
        <w:tblLook w:val="04A0" w:firstRow="1" w:lastRow="0" w:firstColumn="1" w:lastColumn="0" w:noHBand="0" w:noVBand="1"/>
      </w:tblPr>
      <w:tblGrid>
        <w:gridCol w:w="3447"/>
        <w:gridCol w:w="2525"/>
        <w:gridCol w:w="3059"/>
        <w:gridCol w:w="3074"/>
      </w:tblGrid>
      <w:tr w:rsidR="00DE12AA" w:rsidRPr="00DE12AA" w:rsidTr="00DE12A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Vjerojatnost</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Veličina posljedica (štetnosti)</w:t>
            </w:r>
          </w:p>
        </w:tc>
      </w:tr>
      <w:tr w:rsidR="00DE12AA" w:rsidRPr="00DE12AA" w:rsidTr="00DE12A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DE12AA" w:rsidRPr="00DE12AA" w:rsidRDefault="00DE12AA" w:rsidP="00DE12AA">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Malo štetno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Srednje štetno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Izrazito štetno</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Malo 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Mali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Mali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Srednji rizik</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lastRenderedPageBreak/>
              <w:t>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Mali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Srednji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Veliki rizik</w:t>
            </w:r>
          </w:p>
        </w:tc>
      </w:tr>
      <w:tr w:rsidR="00DE12AA" w:rsidRPr="00DE12AA" w:rsidTr="00DE12AA">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0"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b/>
                <w:bCs/>
                <w:sz w:val="20"/>
                <w:szCs w:val="20"/>
                <w:bdr w:val="none" w:sz="0" w:space="0" w:color="auto" w:frame="1"/>
                <w:lang w:eastAsia="hr-HR"/>
              </w:rPr>
              <w:t>Vrlo vjerojatno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Srednji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Veliki rizik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DE12AA" w:rsidRPr="00DE12AA" w:rsidRDefault="00DE12AA" w:rsidP="00DE12AA">
            <w:pPr>
              <w:spacing w:after="225" w:line="240" w:lineRule="auto"/>
              <w:textAlignment w:val="baseline"/>
              <w:rPr>
                <w:rFonts w:ascii="Minion Pro" w:eastAsia="Times New Roman" w:hAnsi="Minion Pro" w:cs="Times New Roman"/>
                <w:sz w:val="20"/>
                <w:szCs w:val="20"/>
                <w:lang w:eastAsia="hr-HR"/>
              </w:rPr>
            </w:pPr>
            <w:r w:rsidRPr="00DE12AA">
              <w:rPr>
                <w:rFonts w:ascii="Minion Pro" w:eastAsia="Times New Roman" w:hAnsi="Minion Pro" w:cs="Times New Roman"/>
                <w:sz w:val="20"/>
                <w:szCs w:val="20"/>
                <w:lang w:eastAsia="hr-HR"/>
              </w:rPr>
              <w:t>Veliki rizik</w:t>
            </w:r>
          </w:p>
        </w:tc>
      </w:tr>
    </w:tbl>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lang w:eastAsia="hr-HR"/>
        </w:rPr>
        <w:br/>
        <w:t>PRILOG II.</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8"/>
          <w:szCs w:val="28"/>
          <w:lang w:eastAsia="hr-HR"/>
        </w:rPr>
      </w:pPr>
      <w:r w:rsidRPr="00DE12AA">
        <w:rPr>
          <w:rFonts w:ascii="Minion Pro" w:eastAsia="Times New Roman" w:hAnsi="Minion Pro" w:cs="Times New Roman"/>
          <w:color w:val="000000"/>
          <w:sz w:val="28"/>
          <w:szCs w:val="28"/>
          <w:lang w:eastAsia="hr-HR"/>
        </w:rPr>
        <w:t>PRIMJER POSLOVA S MALIM RIZICIMA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Poslovi s malim rizicima u smislu odredbi ovoga pravilnika su administrativni, uredski poslovi i slični poslovi kao što su pomoćne usluge, umnožavanje snimljenih zapisa, trgovina električnom energijom, trgovina bez skladištenja, trgovina na malo na štandovima i tržnicama, trgovina na malo preko pošte ili interneta, poslovi unajmljivanja, iznajmljivanja, uslužni administrativni poslovi, poslovi projektiranja, planiranja, savjetovanja, obrazovanja, organizacije, marketinga, posredovanja, izdavanja, pripreme, prezentacije, dizajniranja, poslovi brokera i agenata, dražbe, iznajmljivanja prijevoznih sredstava ili opreme bez vozača, rukovatelja ili posade, usluge pripreme za tisak i objavljivanje, umnožavanje snimljenih zapisa, organizacija izvedbe projekata, posredovanje, usluge smještaja, izdavanje računalnih igara i izdavanje ostalog softvera, poslovi prikazivanja filmova, snimanja zvučnih zapisa i izdavanja glazbenih zapisa, računalno programiranje, savjetovanje u vezi s računalima, obrada podataka, usluge poslužitelja i poslovi povezani s njima, internetski portali, središnje bankarstvo, ostalo novčarsko posredovanje, poslovi uzajamnih fondova (trustova), poslovi ostalih fondova i slični financijski subjekti, financijski leasing, ostalo kreditno posredovanje, životno osiguranje, ostala osiguranja, reosiguranje, mirovinski fondovi, poslovanje financijskih tržišta, posredovanja u poslovanju vrijednosnim papirima i robnim ugovorima, procjena rizika i štete, poslovi agenata i posrednika osiguranja, poslovi upravljanja fondovima, kupnja i prodaja vlastitih nekretnina, poslovi agencija za poslovanje nekretninama, pravni, računovodstveni, knjigovodstveni i revizijski poslovi, porezno savjetovanje, upravljački poslovi,savjetovanje u vezi s upravljanjem, odnosi s javnošću i poslovi priopćivanja, savjetovanje u vezi s poslovanjem i ostalim upravljanjem, tehničko savjetovanje, promidžba (reklama i propaganda) i istraživanje tržišta, oglašavanje preko medija, ispitivanje javnoga mnijenja, prevoditeljski poslovi i usluge tumača, poslovi iznajmljivanja i davanja u zakup (leasing),</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poslovi zapošljavanja, poslovi putničkih agencija i organizatora putovanja (turoperatora), uredski administrativni i pomoćni poslovi, poslovi pozivnih centara, organizacija sastanaka i poslovnih sajmova, poslovi agencija za prikupljanje i naplatu računa te kreditnih ureda, kreativni, umjetnički i zabavni poslovi, izvođačka umjetnost, umjetničko stvaralaštvo, poslovi knjižnica i arhiva, poslovi muzeja, poslovi kockanja i klađenja,</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poslovi poslovnih organizacija, organizacija poslodavaca i strukovnih članskih organizacija i sl.</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lang w:eastAsia="hr-HR"/>
        </w:rPr>
        <w:t>PRILOG III.</w:t>
      </w:r>
    </w:p>
    <w:p w:rsidR="00DE12AA" w:rsidRPr="00DE12AA" w:rsidRDefault="00DE12AA" w:rsidP="00DE12AA">
      <w:pPr>
        <w:spacing w:after="225" w:line="240" w:lineRule="auto"/>
        <w:jc w:val="center"/>
        <w:textAlignment w:val="baseline"/>
        <w:rPr>
          <w:rFonts w:ascii="Minion Pro" w:eastAsia="Times New Roman" w:hAnsi="Minion Pro" w:cs="Times New Roman"/>
          <w:color w:val="000000"/>
          <w:sz w:val="28"/>
          <w:szCs w:val="28"/>
          <w:lang w:eastAsia="hr-HR"/>
        </w:rPr>
      </w:pPr>
      <w:r w:rsidRPr="00DE12AA">
        <w:rPr>
          <w:rFonts w:ascii="Minion Pro" w:eastAsia="Times New Roman" w:hAnsi="Minion Pro" w:cs="Times New Roman"/>
          <w:color w:val="000000"/>
          <w:sz w:val="28"/>
          <w:szCs w:val="28"/>
          <w:lang w:eastAsia="hr-HR"/>
        </w:rPr>
        <w:t>OPASNOSTI, ŠTETNOSTI I NAPORI NA RADU I U VEZI S RADOM</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I. OPASNOSTI: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1. MEHANIČKE OPASNOSTI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 alati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1.1.1. ručni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1.1.2. mehanizirani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 strojevi i oprema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1.3. sredstva za horizontalni prijenos</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1.3.1. prijevozna vozila: automobili, kamioni i dr.</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1.3.2. prijenosna sredstva: viličari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1.3.3. samohodni strojevi: bageri, buldožeri i dr.</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 sredstva za vertikalni prijenos</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1.4.1. dizalice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1.4.2. transporteri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 rukovanje predmetima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1.6. ostale mehaničke opasnosti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2. OPASNOSTI OD PADOVA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 pad radnika i drugih osoba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2.1.1. na istoj razini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2.1.2. u dubinu</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2.1.3. s visine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2.1.4. s visine iznad 3 metra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2.2. pad predmeta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3. ELEKTRIČNA STRUJA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 otvoreni električni krug</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3.2. ostale električne opasnosti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4. POŽAR I EKSPLOZIJA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4.1. eksplozivne tvari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4.2. zapaljive tvari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5. TERMIČKE OPASNOSTI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5.1. vruće tvari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5.2. hladne tvari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II. ŠTETNOSTI: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1. KEMIJSKE ŠTETNOSTI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 otrovi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1.1.1. metali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1.1.2. nemetali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1.1.3. organski spojevi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1.2. korozivi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1.2.1. kiseline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1.2.2. lužine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1.2.3. drugi korozivi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 nadražljivci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1.3.1. lako topivi u vodi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1.3.2. slabo topivi u vodi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1.3.3. odmašćivači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1.3.4. drugi nadražljivci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 zagušljivci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1.4.1. inertni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1.4.2. kemijski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 senzibilizatori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1.5.1. organske prašine biljnog porijekla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1.5.2. organske prašine životinjskog porijekla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1.5.3. kemijski spojevi alergogenog potencijala</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1.5.4. termofilne aktinomicete</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1.5.5. ostali senzibilizatori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1.6. fibrogeni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1.6.1. azbest</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1.6.2. silicijev dioksid</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1.6.3. ostali fibrogeni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1.7. mutageni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1.8. karcinogeni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1.9. teratogeni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2. BIOLOŠKE ŠTETNOSTI</w:t>
      </w:r>
    </w:p>
    <w:p w:rsidR="00DE12AA" w:rsidRPr="00DE12AA" w:rsidRDefault="00DE12AA" w:rsidP="00DE12AA">
      <w:pPr>
        <w:spacing w:after="225"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 zarazni materijal</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zaraženi ljudi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zaražene životinje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2.4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opasne biljke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opasne životinje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3. FIZIKALNE ŠTETNOSTI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buka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kontinuirana buka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diskontinuirana buka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impulsna buka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3.1.4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ometajuća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vibracije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3.2.1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vibracije koje se prenose na ruke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3.2.2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vibracije koje se prenose na cijelo tijelo</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3.2.3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potresanja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promijenjeni tlak</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3.3.1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povišeni tlak</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3.3.2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sniženi tlak</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3.3.3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promjene tlaka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nepovoljni klimatski i mikroklimatski uvjeti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rad na otvorenom</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vrući okoliš</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visoka vlažnost</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pojačano strujanje zraka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hladan okoliš</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česte promjene temperature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3.4.7</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nepovoljni učinci umjetne ventilacije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ionizirajuće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3.5.1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rendgensko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3.5.2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otvoreni radioaktivni elementi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3.5.3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zatvoreni radioaktivni elementi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neionizirajuće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3.6.1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UV zračenje (A, B, C)</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3.6.2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toplinsko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3.6.3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mikrovalno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3.6.4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lasersko zračenje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3.4.5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elektromagnetsko polje vrlo niskih frekvencija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3.7</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osvijetljenost</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3.7.1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nedovoljna osvijetljenost</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3.7.2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blještanje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3.8</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ostale fizikalne štetnosti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III.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1. STATODINAMIČKI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statički: prisilan položaj tijela pri radu</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stalno sjedenje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stalno stajanje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pognut položaj tijela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čučanje, klečanje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rad u skučenom prostoru</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ruke iznad glave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1.1.7</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ostali statički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dinamički: fizički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ponavljajući pokreti sa i bez primjene sile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lastRenderedPageBreak/>
        <w:t>1.2.2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brzi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dizanje i nošenje tereta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guranje i vučenje tereta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težak fizički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1.2.6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ostali dinamički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2. PSIHOFIZIOLOŠKI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nepovoljan ritam rada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rad na normu</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ritam uvjetovan radnim procesom</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neujednačen ritam</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poremećen bioritam</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2.2.2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noćni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2.2.3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produljeni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remećenje socijalnih potreba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2.3.1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terenski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2.3.2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rad na daljinu</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odgovornost za živote ljudi i materijalna dobra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2.4.1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rukovođenje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2.4.2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upravljanje prijevoznim sredstvima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visoka vjerojatnost izvanrednih događaja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otežan prijam informacija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2.6.1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zvučni signali i znakovi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2.6.2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svjetlosni signali i znakovi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2.6.3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buka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2.6.4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nedovoljna osvijetljenost</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radni zahtjevi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neodgovarajući kvantitativni zahtjevi (premalo ili previše rada)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premali utjecaj na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2.7.3</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zahtjev za visokom kvalitetom rada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2.7.4</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izolirani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2.7.5</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monotoni rad</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2.7.6</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komunikacija s osobama</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2.8</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maltretiranje</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2.8.1</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mobing</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2.8.2</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bulling</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2.9</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burnout</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color w:val="000000"/>
          <w:sz w:val="24"/>
          <w:szCs w:val="24"/>
          <w:lang w:eastAsia="hr-HR"/>
        </w:rPr>
        <w:t>2.10</w:t>
      </w:r>
      <w:r w:rsidRPr="00DE12AA">
        <w:rPr>
          <w:rFonts w:ascii="Minion Pro" w:eastAsia="Times New Roman" w:hAnsi="Minion Pro" w:cs="Times New Roman"/>
          <w:b/>
          <w:bCs/>
          <w:color w:val="000000"/>
          <w:sz w:val="24"/>
          <w:szCs w:val="24"/>
          <w:bdr w:val="none" w:sz="0" w:space="0" w:color="auto" w:frame="1"/>
          <w:lang w:eastAsia="hr-HR"/>
        </w:rPr>
        <w:t>. </w:t>
      </w:r>
      <w:r w:rsidRPr="00DE12AA">
        <w:rPr>
          <w:rFonts w:ascii="Minion Pro" w:eastAsia="Times New Roman" w:hAnsi="Minion Pro" w:cs="Times New Roman"/>
          <w:color w:val="000000"/>
          <w:sz w:val="24"/>
          <w:szCs w:val="24"/>
          <w:lang w:eastAsia="hr-HR"/>
        </w:rPr>
        <w:t>ostali psihofiziološki napori</w:t>
      </w:r>
    </w:p>
    <w:p w:rsidR="00DE12AA" w:rsidRPr="00DE12AA" w:rsidRDefault="00DE12AA" w:rsidP="00DE12AA">
      <w:pPr>
        <w:spacing w:after="0"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3. NAPORI VIDA</w:t>
      </w:r>
    </w:p>
    <w:p w:rsidR="00DE12AA" w:rsidRPr="00DE12AA" w:rsidRDefault="00DE12AA" w:rsidP="00DE12AA">
      <w:pPr>
        <w:spacing w:line="240" w:lineRule="auto"/>
        <w:jc w:val="both"/>
        <w:textAlignment w:val="baseline"/>
        <w:rPr>
          <w:rFonts w:ascii="Minion Pro" w:eastAsia="Times New Roman" w:hAnsi="Minion Pro" w:cs="Times New Roman"/>
          <w:color w:val="000000"/>
          <w:sz w:val="24"/>
          <w:szCs w:val="24"/>
          <w:lang w:eastAsia="hr-HR"/>
        </w:rPr>
      </w:pPr>
      <w:r w:rsidRPr="00DE12AA">
        <w:rPr>
          <w:rFonts w:ascii="Minion Pro" w:eastAsia="Times New Roman" w:hAnsi="Minion Pro" w:cs="Times New Roman"/>
          <w:b/>
          <w:bCs/>
          <w:color w:val="000000"/>
          <w:sz w:val="24"/>
          <w:szCs w:val="24"/>
          <w:bdr w:val="none" w:sz="0" w:space="0" w:color="auto" w:frame="1"/>
          <w:lang w:eastAsia="hr-HR"/>
        </w:rPr>
        <w:t>4. NAPORI GOVORA</w:t>
      </w:r>
    </w:p>
    <w:p w:rsidR="00167AC7" w:rsidRPr="00DE12AA" w:rsidRDefault="00167AC7" w:rsidP="00DE12AA">
      <w:bookmarkStart w:id="0" w:name="_GoBack"/>
      <w:bookmarkEnd w:id="0"/>
    </w:p>
    <w:sectPr w:rsidR="00167AC7" w:rsidRPr="00DE1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26D29"/>
    <w:rsid w:val="00167AC7"/>
    <w:rsid w:val="00DE12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70DD"/>
  <w15:chartTrackingRefBased/>
  <w15:docId w15:val="{BD944159-727F-4610-ADA1-BED26E4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DE12AA"/>
  </w:style>
  <w:style w:type="paragraph" w:customStyle="1" w:styleId="prilog">
    <w:name w:val="prilog"/>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DE12A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3047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32">
          <w:marLeft w:val="0"/>
          <w:marRight w:val="0"/>
          <w:marTop w:val="300"/>
          <w:marBottom w:val="450"/>
          <w:divBdr>
            <w:top w:val="none" w:sz="0" w:space="0" w:color="auto"/>
            <w:left w:val="none" w:sz="0" w:space="0" w:color="auto"/>
            <w:bottom w:val="none" w:sz="0" w:space="0" w:color="auto"/>
            <w:right w:val="none" w:sz="0" w:space="0" w:color="auto"/>
          </w:divBdr>
          <w:divsChild>
            <w:div w:id="1084958081">
              <w:marLeft w:val="0"/>
              <w:marRight w:val="0"/>
              <w:marTop w:val="0"/>
              <w:marBottom w:val="0"/>
              <w:divBdr>
                <w:top w:val="none" w:sz="0" w:space="0" w:color="auto"/>
                <w:left w:val="none" w:sz="0" w:space="0" w:color="auto"/>
                <w:bottom w:val="none" w:sz="0" w:space="0" w:color="auto"/>
                <w:right w:val="none" w:sz="0" w:space="0" w:color="auto"/>
              </w:divBdr>
              <w:divsChild>
                <w:div w:id="930116171">
                  <w:marLeft w:val="0"/>
                  <w:marRight w:val="0"/>
                  <w:marTop w:val="0"/>
                  <w:marBottom w:val="0"/>
                  <w:divBdr>
                    <w:top w:val="none" w:sz="0" w:space="0" w:color="auto"/>
                    <w:left w:val="none" w:sz="0" w:space="0" w:color="auto"/>
                    <w:bottom w:val="none" w:sz="0" w:space="0" w:color="auto"/>
                    <w:right w:val="none" w:sz="0" w:space="0" w:color="auto"/>
                  </w:divBdr>
                  <w:divsChild>
                    <w:div w:id="1596012960">
                      <w:marLeft w:val="0"/>
                      <w:marRight w:val="0"/>
                      <w:marTop w:val="0"/>
                      <w:marBottom w:val="0"/>
                      <w:divBdr>
                        <w:top w:val="none" w:sz="0" w:space="0" w:color="auto"/>
                        <w:left w:val="none" w:sz="0" w:space="0" w:color="auto"/>
                        <w:bottom w:val="none" w:sz="0" w:space="0" w:color="auto"/>
                        <w:right w:val="none" w:sz="0" w:space="0" w:color="auto"/>
                      </w:divBdr>
                      <w:divsChild>
                        <w:div w:id="486825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2017-10-19T08:22:00Z</dcterms:created>
  <dcterms:modified xsi:type="dcterms:W3CDTF">2017-10-19T08:26:00Z</dcterms:modified>
</cp:coreProperties>
</file>