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C92" w:rsidRPr="00713C92" w:rsidRDefault="00713C92" w:rsidP="00713C92">
      <w:pPr>
        <w:spacing w:after="0" w:line="240" w:lineRule="auto"/>
        <w:jc w:val="center"/>
        <w:textAlignment w:val="baseline"/>
        <w:outlineLvl w:val="0"/>
        <w:rPr>
          <w:rFonts w:ascii="Minion Pro" w:eastAsia="Times New Roman" w:hAnsi="Minion Pro" w:cs="Times New Roman"/>
          <w:b/>
          <w:bCs/>
          <w:color w:val="000000"/>
          <w:kern w:val="36"/>
          <w:sz w:val="29"/>
          <w:szCs w:val="29"/>
          <w:lang w:eastAsia="hr-HR"/>
        </w:rPr>
      </w:pPr>
      <w:r w:rsidRPr="00713C92">
        <w:rPr>
          <w:rFonts w:ascii="Minion Pro" w:eastAsia="Times New Roman" w:hAnsi="Minion Pro" w:cs="Times New Roman"/>
          <w:b/>
          <w:bCs/>
          <w:color w:val="000000"/>
          <w:kern w:val="36"/>
          <w:sz w:val="29"/>
          <w:szCs w:val="29"/>
          <w:bdr w:val="none" w:sz="0" w:space="0" w:color="auto" w:frame="1"/>
          <w:lang w:val="de-DE" w:eastAsia="hr-HR"/>
        </w:rPr>
        <w:t>MINISTARSTVO ZDRAVSTVA</w:t>
      </w:r>
    </w:p>
    <w:p w:rsidR="00713C92" w:rsidRPr="00713C92" w:rsidRDefault="00713C92" w:rsidP="00713C92">
      <w:pPr>
        <w:spacing w:after="0" w:line="240" w:lineRule="auto"/>
        <w:jc w:val="right"/>
        <w:textAlignment w:val="baseline"/>
        <w:rPr>
          <w:rFonts w:ascii="Times-NewRoman" w:eastAsia="Times New Roman" w:hAnsi="Times-NewRoman" w:cs="Times New Roman"/>
          <w:b/>
          <w:bCs/>
          <w:color w:val="000000"/>
          <w:lang w:eastAsia="hr-HR"/>
        </w:rPr>
      </w:pPr>
      <w:r w:rsidRPr="00713C92">
        <w:rPr>
          <w:rFonts w:ascii="Minion Pro" w:eastAsia="Times New Roman" w:hAnsi="Minion Pro" w:cs="Times New Roman"/>
          <w:b/>
          <w:bCs/>
          <w:color w:val="000000"/>
          <w:sz w:val="24"/>
          <w:szCs w:val="24"/>
          <w:bdr w:val="none" w:sz="0" w:space="0" w:color="auto" w:frame="1"/>
          <w:lang w:eastAsia="hr-HR"/>
        </w:rPr>
        <w:t>2136</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Na temelju članka 78. Zakona o zdravstvenoj zaštiti (»Na</w:t>
      </w:r>
      <w:r w:rsidRPr="00713C92">
        <w:rPr>
          <w:rFonts w:ascii="Minion Pro" w:eastAsia="Times New Roman" w:hAnsi="Minion Pro" w:cs="Times New Roman"/>
          <w:color w:val="000000"/>
          <w:sz w:val="24"/>
          <w:szCs w:val="24"/>
          <w:bdr w:val="none" w:sz="0" w:space="0" w:color="auto" w:frame="1"/>
          <w:lang w:eastAsia="hr-HR"/>
        </w:rPr>
        <w:softHyphen/>
        <w:t>rod</w:t>
      </w:r>
      <w:r w:rsidRPr="00713C92">
        <w:rPr>
          <w:rFonts w:ascii="Minion Pro" w:eastAsia="Times New Roman" w:hAnsi="Minion Pro" w:cs="Times New Roman"/>
          <w:color w:val="000000"/>
          <w:sz w:val="24"/>
          <w:szCs w:val="24"/>
          <w:bdr w:val="none" w:sz="0" w:space="0" w:color="auto" w:frame="1"/>
          <w:lang w:eastAsia="hr-HR"/>
        </w:rPr>
        <w:softHyphen/>
        <w:t>ne novine«, br. 121/03) ministar zdravstva donosi</w:t>
      </w:r>
    </w:p>
    <w:p w:rsidR="00713C92" w:rsidRPr="00713C92" w:rsidRDefault="00713C92" w:rsidP="00713C92">
      <w:pPr>
        <w:spacing w:after="0" w:line="288" w:lineRule="atLeast"/>
        <w:jc w:val="center"/>
        <w:textAlignment w:val="baseline"/>
        <w:outlineLvl w:val="1"/>
        <w:rPr>
          <w:rFonts w:ascii="Minion Pro" w:eastAsia="Times New Roman" w:hAnsi="Minion Pro" w:cs="Times New Roman"/>
          <w:b/>
          <w:bCs/>
          <w:color w:val="000000"/>
          <w:sz w:val="36"/>
          <w:szCs w:val="36"/>
          <w:lang w:eastAsia="hr-HR"/>
        </w:rPr>
      </w:pPr>
      <w:r w:rsidRPr="00713C92">
        <w:rPr>
          <w:rFonts w:ascii="Minion Pro" w:eastAsia="Times New Roman" w:hAnsi="Minion Pro" w:cs="Times New Roman"/>
          <w:b/>
          <w:bCs/>
          <w:color w:val="000000"/>
          <w:sz w:val="36"/>
          <w:szCs w:val="36"/>
          <w:bdr w:val="none" w:sz="0" w:space="0" w:color="auto" w:frame="1"/>
          <w:lang w:val="en-GB" w:eastAsia="hr-HR"/>
        </w:rPr>
        <w:t>PRAVILNIK</w:t>
      </w:r>
    </w:p>
    <w:p w:rsidR="00713C92" w:rsidRPr="00713C92" w:rsidRDefault="00713C92" w:rsidP="00713C92">
      <w:pPr>
        <w:spacing w:after="0" w:line="240" w:lineRule="auto"/>
        <w:jc w:val="center"/>
        <w:textAlignment w:val="baseline"/>
        <w:outlineLvl w:val="2"/>
        <w:rPr>
          <w:rFonts w:ascii="Minion Pro" w:eastAsia="Times New Roman" w:hAnsi="Minion Pro" w:cs="Times New Roman"/>
          <w:b/>
          <w:bCs/>
          <w:color w:val="000000"/>
          <w:sz w:val="28"/>
          <w:szCs w:val="28"/>
          <w:lang w:eastAsia="hr-HR"/>
        </w:rPr>
      </w:pPr>
      <w:r w:rsidRPr="00713C92">
        <w:rPr>
          <w:rFonts w:ascii="Minion Pro" w:eastAsia="Times New Roman" w:hAnsi="Minion Pro" w:cs="Times New Roman"/>
          <w:b/>
          <w:bCs/>
          <w:color w:val="000000"/>
          <w:sz w:val="28"/>
          <w:szCs w:val="28"/>
          <w:bdr w:val="none" w:sz="0" w:space="0" w:color="auto" w:frame="1"/>
          <w:lang w:val="en-GB" w:eastAsia="hr-HR"/>
        </w:rPr>
        <w:t>O UVJETIMA</w:t>
      </w:r>
      <w:r w:rsidRPr="00713C92">
        <w:rPr>
          <w:rFonts w:ascii="Minion Pro" w:eastAsia="Times New Roman" w:hAnsi="Minion Pro" w:cs="Times New Roman"/>
          <w:b/>
          <w:bCs/>
          <w:color w:val="000000"/>
          <w:sz w:val="28"/>
          <w:szCs w:val="28"/>
          <w:bdr w:val="none" w:sz="0" w:space="0" w:color="auto" w:frame="1"/>
          <w:lang w:eastAsia="hr-HR"/>
        </w:rPr>
        <w:t>, </w:t>
      </w:r>
      <w:r w:rsidRPr="00713C92">
        <w:rPr>
          <w:rFonts w:ascii="Minion Pro" w:eastAsia="Times New Roman" w:hAnsi="Minion Pro" w:cs="Times New Roman"/>
          <w:b/>
          <w:bCs/>
          <w:color w:val="000000"/>
          <w:sz w:val="28"/>
          <w:szCs w:val="28"/>
          <w:bdr w:val="none" w:sz="0" w:space="0" w:color="auto" w:frame="1"/>
          <w:lang w:val="en-GB" w:eastAsia="hr-HR"/>
        </w:rPr>
        <w:t>ORGANIZACIJI I NA</w:t>
      </w:r>
      <w:r w:rsidRPr="00713C92">
        <w:rPr>
          <w:rFonts w:ascii="Minion Pro" w:eastAsia="Times New Roman" w:hAnsi="Minion Pro" w:cs="Times New Roman"/>
          <w:b/>
          <w:bCs/>
          <w:color w:val="000000"/>
          <w:sz w:val="28"/>
          <w:szCs w:val="28"/>
          <w:bdr w:val="none" w:sz="0" w:space="0" w:color="auto" w:frame="1"/>
          <w:lang w:eastAsia="hr-HR"/>
        </w:rPr>
        <w:t>Č</w:t>
      </w:r>
      <w:r w:rsidRPr="00713C92">
        <w:rPr>
          <w:rFonts w:ascii="Minion Pro" w:eastAsia="Times New Roman" w:hAnsi="Minion Pro" w:cs="Times New Roman"/>
          <w:b/>
          <w:bCs/>
          <w:color w:val="000000"/>
          <w:sz w:val="28"/>
          <w:szCs w:val="28"/>
          <w:bdr w:val="none" w:sz="0" w:space="0" w:color="auto" w:frame="1"/>
          <w:lang w:val="en-GB" w:eastAsia="hr-HR"/>
        </w:rPr>
        <w:t>INU RADA</w:t>
      </w:r>
      <w:r w:rsidRPr="00713C92">
        <w:rPr>
          <w:rFonts w:ascii="Minion Pro" w:eastAsia="Times New Roman" w:hAnsi="Minion Pro" w:cs="Times New Roman"/>
          <w:b/>
          <w:bCs/>
          <w:color w:val="000000"/>
          <w:sz w:val="28"/>
          <w:szCs w:val="28"/>
          <w:bdr w:val="none" w:sz="0" w:space="0" w:color="auto" w:frame="1"/>
          <w:lang w:eastAsia="hr-HR"/>
        </w:rPr>
        <w:br/>
      </w:r>
      <w:r w:rsidRPr="00713C92">
        <w:rPr>
          <w:rFonts w:ascii="Minion Pro" w:eastAsia="Times New Roman" w:hAnsi="Minion Pro" w:cs="Times New Roman"/>
          <w:b/>
          <w:bCs/>
          <w:color w:val="000000"/>
          <w:sz w:val="28"/>
          <w:szCs w:val="28"/>
          <w:bdr w:val="none" w:sz="0" w:space="0" w:color="auto" w:frame="1"/>
          <w:lang w:val="en-GB" w:eastAsia="hr-HR"/>
        </w:rPr>
        <w:t>IZVANBOLNI</w:t>
      </w:r>
      <w:r w:rsidRPr="00713C92">
        <w:rPr>
          <w:rFonts w:ascii="Minion Pro" w:eastAsia="Times New Roman" w:hAnsi="Minion Pro" w:cs="Times New Roman"/>
          <w:b/>
          <w:bCs/>
          <w:color w:val="000000"/>
          <w:sz w:val="28"/>
          <w:szCs w:val="28"/>
          <w:bdr w:val="none" w:sz="0" w:space="0" w:color="auto" w:frame="1"/>
          <w:lang w:eastAsia="hr-HR"/>
        </w:rPr>
        <w:t>Č</w:t>
      </w:r>
      <w:r w:rsidRPr="00713C92">
        <w:rPr>
          <w:rFonts w:ascii="Minion Pro" w:eastAsia="Times New Roman" w:hAnsi="Minion Pro" w:cs="Times New Roman"/>
          <w:b/>
          <w:bCs/>
          <w:color w:val="000000"/>
          <w:sz w:val="28"/>
          <w:szCs w:val="28"/>
          <w:bdr w:val="none" w:sz="0" w:space="0" w:color="auto" w:frame="1"/>
          <w:lang w:val="en-GB" w:eastAsia="hr-HR"/>
        </w:rPr>
        <w:t>KE HITNE MEDICINSKE POMO</w:t>
      </w:r>
      <w:r w:rsidRPr="00713C92">
        <w:rPr>
          <w:rFonts w:ascii="Minion Pro" w:eastAsia="Times New Roman" w:hAnsi="Minion Pro" w:cs="Times New Roman"/>
          <w:b/>
          <w:bCs/>
          <w:color w:val="000000"/>
          <w:sz w:val="28"/>
          <w:szCs w:val="28"/>
          <w:bdr w:val="none" w:sz="0" w:space="0" w:color="auto" w:frame="1"/>
          <w:lang w:eastAsia="hr-HR"/>
        </w:rPr>
        <w:t>Ć</w:t>
      </w:r>
      <w:r w:rsidRPr="00713C92">
        <w:rPr>
          <w:rFonts w:ascii="Minion Pro" w:eastAsia="Times New Roman" w:hAnsi="Minion Pro" w:cs="Times New Roman"/>
          <w:b/>
          <w:bCs/>
          <w:color w:val="000000"/>
          <w:sz w:val="28"/>
          <w:szCs w:val="28"/>
          <w:bdr w:val="none" w:sz="0" w:space="0" w:color="auto" w:frame="1"/>
          <w:lang w:val="en-GB" w:eastAsia="hr-HR"/>
        </w:rPr>
        <w:t>I</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23"/>
          <w:szCs w:val="23"/>
          <w:lang w:eastAsia="hr-HR"/>
        </w:rPr>
      </w:pPr>
      <w:r w:rsidRPr="00713C92">
        <w:rPr>
          <w:rFonts w:ascii="Minion Pro" w:eastAsia="Times New Roman" w:hAnsi="Minion Pro" w:cs="Times New Roman"/>
          <w:color w:val="000000"/>
          <w:sz w:val="24"/>
          <w:szCs w:val="24"/>
          <w:bdr w:val="none" w:sz="0" w:space="0" w:color="auto" w:frame="1"/>
          <w:lang w:eastAsia="hr-HR"/>
        </w:rPr>
        <w:t>I. OPĆE ODREDBE</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1.</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Ovim Pravilnikom utvrđuju se uvjeti, organizacija i način rada izvanbolničke hitne medicinske pomoći u Republici Hrvat</w:t>
      </w:r>
      <w:r w:rsidRPr="00713C92">
        <w:rPr>
          <w:rFonts w:ascii="Minion Pro" w:eastAsia="Times New Roman" w:hAnsi="Minion Pro" w:cs="Times New Roman"/>
          <w:color w:val="000000"/>
          <w:sz w:val="24"/>
          <w:szCs w:val="24"/>
          <w:bdr w:val="none" w:sz="0" w:space="0" w:color="auto" w:frame="1"/>
          <w:lang w:eastAsia="hr-HR"/>
        </w:rPr>
        <w:softHyphen/>
        <w:t>skoj.</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2.</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Izvanbolnička hitna medicinska pomoć organizira se u cilju neprekidnog hitnog medicinskog zbrinjavanja osoba kojima je zbog bolesti, stradanja ili ozljede neposredno ugrožen život, pojedini organ ili dijelovi tijela, odnosno kod kojih bi u kratkom vremenu moglo doći do životne ugroženosti, a u svrhu maksimalnog skraćenja vremena od nastanka hitnog stanja do početka postupka završnoga liječenja.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3.</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Hitne medicinske mjere i postupci provode se na mjestu događaja, tijekom prijevoza sredstvima hitne medicinske pomoći te u ordinaciji, odnosno drugom odgovarajućem prostoru zdravstvene ustanove.</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23"/>
          <w:szCs w:val="23"/>
          <w:lang w:eastAsia="hr-HR"/>
        </w:rPr>
      </w:pPr>
      <w:r w:rsidRPr="00713C92">
        <w:rPr>
          <w:rFonts w:ascii="Minion Pro" w:eastAsia="Times New Roman" w:hAnsi="Minion Pro" w:cs="Times New Roman"/>
          <w:color w:val="000000"/>
          <w:sz w:val="24"/>
          <w:szCs w:val="24"/>
          <w:bdr w:val="none" w:sz="0" w:space="0" w:color="auto" w:frame="1"/>
          <w:lang w:eastAsia="hr-HR"/>
        </w:rPr>
        <w:t>II. ORGANIZACIJA I PROVOĐENJE HITNE MEDICINSKE POMOĆI</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4.</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Izvanbolnička hitna medicinska pomoć organizira se u okviru:</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ustanove za hitnu medicinsku pomoć,</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jedinice hitne medicinske pomoći u domovima zdravlja.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Izvanbolnička hitna medicinska pomoć iznimno se organizira u okviru djelatnosti obiteljskih liječnika u domovima zdravlja.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5.</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Ustanova za hitnu medicinsku pomoć ili jedinica hitne medicinske pomoći u domu zdravlja tijekom 24 sata pruža: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hitnu medicinsku pomoć i/ili prijevoz naglo oboljelim i ozlijeđenim osobama,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hitnu medicinsku pomoć rodilji tijekom poroda izvan zdrav</w:t>
      </w:r>
      <w:r w:rsidRPr="00713C92">
        <w:rPr>
          <w:rFonts w:ascii="Minion Pro" w:eastAsia="Times New Roman" w:hAnsi="Minion Pro" w:cs="Times New Roman"/>
          <w:color w:val="000000"/>
          <w:sz w:val="24"/>
          <w:szCs w:val="24"/>
          <w:bdr w:val="none" w:sz="0" w:space="0" w:color="auto" w:frame="1"/>
          <w:lang w:eastAsia="hr-HR"/>
        </w:rPr>
        <w:softHyphen/>
        <w:t>stvene ustanove, odnosno tijekom prijevoza,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hitnu medicinsku pomoć u prostoru zdravstvene ustanove.</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6.</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Liječnik u primarnoj zdravstvenoj zaštiti obvezan je pružiti hitnu medicinsku pomoć svim osobama</w:t>
      </w:r>
      <w:r w:rsidRPr="00713C92">
        <w:rPr>
          <w:rFonts w:ascii="Minion Pro" w:eastAsia="Times New Roman" w:hAnsi="Minion Pro" w:cs="Times New Roman"/>
          <w:b/>
          <w:bCs/>
          <w:color w:val="000000"/>
          <w:sz w:val="24"/>
          <w:szCs w:val="2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koje je zatraže te po potrebi osigurati prijevoz bolesnika do bolnice.</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7.</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Izvanbolnička hitna medicinska pomoć obavlja se u okviru samostalne ustanove za hitnu medicinsku pomoć ili u okviru jedinice hitne medicinske pomoći u sklopu doma zdravlja, za područ</w:t>
      </w:r>
      <w:r w:rsidRPr="00713C92">
        <w:rPr>
          <w:rFonts w:ascii="Minion Pro" w:eastAsia="Times New Roman" w:hAnsi="Minion Pro" w:cs="Times New Roman"/>
          <w:color w:val="000000"/>
          <w:sz w:val="24"/>
          <w:szCs w:val="24"/>
          <w:bdr w:val="none" w:sz="0" w:space="0" w:color="auto" w:frame="1"/>
          <w:lang w:eastAsia="hr-HR"/>
        </w:rPr>
        <w:softHyphen/>
        <w:t>je cijele županije.</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Iznimno od odredbe stavka 1. ovoga članka, u gradovima Zagrebu, Osijeku, Rijeci i Splitu izvanbolnička hitna medicinska pomoć organizira se isključivo u okviru samostalne ustanove za hitnu medicinsku pomoć za područje cijele županije.</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8.</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Županija na temelju prijedloga Upravnoga vijeća, po prethodno pribavljenom mišljenju Stručnoga vijeća ustanove za hitnu medicinsku pomoć ili doma zdravlja, u okviru raspoloživog go</w:t>
      </w:r>
      <w:r w:rsidRPr="00713C92">
        <w:rPr>
          <w:rFonts w:ascii="Minion Pro" w:eastAsia="Times New Roman" w:hAnsi="Minion Pro" w:cs="Times New Roman"/>
          <w:color w:val="000000"/>
          <w:sz w:val="24"/>
          <w:szCs w:val="24"/>
          <w:bdr w:val="none" w:sz="0" w:space="0" w:color="auto" w:frame="1"/>
          <w:lang w:eastAsia="hr-HR"/>
        </w:rPr>
        <w:softHyphen/>
        <w:t>diš</w:t>
      </w:r>
      <w:r w:rsidRPr="00713C92">
        <w:rPr>
          <w:rFonts w:ascii="Minion Pro" w:eastAsia="Times New Roman" w:hAnsi="Minion Pro" w:cs="Times New Roman"/>
          <w:color w:val="000000"/>
          <w:sz w:val="24"/>
          <w:szCs w:val="24"/>
          <w:bdr w:val="none" w:sz="0" w:space="0" w:color="auto" w:frame="1"/>
          <w:lang w:eastAsia="hr-HR"/>
        </w:rPr>
        <w:softHyphen/>
        <w:t xml:space="preserve">njeg novčanog iznosa za provođenje izvanbolničke hitne medicinske pomoći utvrđenog </w:t>
      </w:r>
      <w:r w:rsidRPr="00713C92">
        <w:rPr>
          <w:rFonts w:ascii="Minion Pro" w:eastAsia="Times New Roman" w:hAnsi="Minion Pro" w:cs="Times New Roman"/>
          <w:color w:val="000000"/>
          <w:sz w:val="24"/>
          <w:szCs w:val="24"/>
          <w:bdr w:val="none" w:sz="0" w:space="0" w:color="auto" w:frame="1"/>
          <w:lang w:eastAsia="hr-HR"/>
        </w:rPr>
        <w:lastRenderedPageBreak/>
        <w:t>za pojedinu županiju, uz prethodnu suglasnost ministra zdravstva određuje punktove i oblike provo</w:t>
      </w:r>
      <w:r w:rsidRPr="00713C92">
        <w:rPr>
          <w:rFonts w:ascii="Minion Pro" w:eastAsia="Times New Roman" w:hAnsi="Minion Pro" w:cs="Times New Roman"/>
          <w:color w:val="000000"/>
          <w:sz w:val="24"/>
          <w:szCs w:val="24"/>
          <w:bdr w:val="none" w:sz="0" w:space="0" w:color="auto" w:frame="1"/>
          <w:lang w:eastAsia="hr-HR"/>
        </w:rPr>
        <w:softHyphen/>
        <w:t>đenja izvan</w:t>
      </w:r>
      <w:r w:rsidRPr="00713C92">
        <w:rPr>
          <w:rFonts w:ascii="Minion Pro" w:eastAsia="Times New Roman" w:hAnsi="Minion Pro" w:cs="Times New Roman"/>
          <w:color w:val="000000"/>
          <w:sz w:val="24"/>
          <w:szCs w:val="24"/>
          <w:bdr w:val="none" w:sz="0" w:space="0" w:color="auto" w:frame="1"/>
          <w:lang w:eastAsia="hr-HR"/>
        </w:rPr>
        <w:softHyphen/>
        <w:t>bolničke hitne medicinske pomoći te broj, raspored i vrstu timova koji je provode na pojedinom punktu, a koji ne može biti manji od broja timova utvrđenih u osnovnoj mreži izvanbolničke hitne medicinske pomoći.</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Na područjima na kojima je zbog tranzita i/ili boravka turista povećan broj korisnika zdravstvene zaštite, županija je u suradnji s jedinicom lokalne samouprave, turističkom zajednicom, Hrvat</w:t>
      </w:r>
      <w:r w:rsidRPr="00713C92">
        <w:rPr>
          <w:rFonts w:ascii="Minion Pro" w:eastAsia="Times New Roman" w:hAnsi="Minion Pro" w:cs="Times New Roman"/>
          <w:color w:val="000000"/>
          <w:sz w:val="24"/>
          <w:szCs w:val="24"/>
          <w:bdr w:val="none" w:sz="0" w:space="0" w:color="auto" w:frame="1"/>
          <w:lang w:eastAsia="hr-HR"/>
        </w:rPr>
        <w:softHyphen/>
        <w:t>skim autocestama, Hrvatskim cestama, Hrvatskim auto-klubom, Hrvat</w:t>
      </w:r>
      <w:r w:rsidRPr="00713C92">
        <w:rPr>
          <w:rFonts w:ascii="Minion Pro" w:eastAsia="Times New Roman" w:hAnsi="Minion Pro" w:cs="Times New Roman"/>
          <w:color w:val="000000"/>
          <w:sz w:val="24"/>
          <w:szCs w:val="24"/>
          <w:bdr w:val="none" w:sz="0" w:space="0" w:color="auto" w:frame="1"/>
          <w:lang w:eastAsia="hr-HR"/>
        </w:rPr>
        <w:softHyphen/>
        <w:t>skim ronilačkim savezom i društvima za osiguranje obvezna organizirati i osigurati povećani broj timova na određenome području u odnosu na broj timova određenih osnovnom mrežom izvanbolničke hitne medicinske pomoći, a sukladno ugovoru koji sklapa s ustanovom za hitnu medicinsku pomoć, odnosno domom zdravlja.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9.</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U organizaciju izvanbolničke hitne medicinske pomoći uključeni su svi ugovoreni timovi ustanova za hitnu medicinsku pomoć, odnosno domova zdravlja te obiteljski liječnici s kojima ustanova za hitnu medicinsku pomoć ili dom zdravlja ugovara pripravnost.</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10.</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Izvanbolničku hitnu medicinsku pomoć obvezna je pružiti ona ustanova za hitnu medicinsku pomoć, odnosno jedinica hitne medicinske pomoći doma zdravlja na čijem je području nastupila potreba hitnoga medicinskog zbrinjavanja.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Ako ustanova za hitnu medicinsku pomoć, odnosno jedinica hit</w:t>
      </w:r>
      <w:r w:rsidRPr="00713C92">
        <w:rPr>
          <w:rFonts w:ascii="Minion Pro" w:eastAsia="Times New Roman" w:hAnsi="Minion Pro" w:cs="Times New Roman"/>
          <w:color w:val="000000"/>
          <w:sz w:val="24"/>
          <w:szCs w:val="24"/>
          <w:bdr w:val="none" w:sz="0" w:space="0" w:color="auto" w:frame="1"/>
          <w:lang w:eastAsia="hr-HR"/>
        </w:rPr>
        <w:softHyphen/>
        <w:t>ne medicinske pomoći doma zdravlja iz stavka 1. ovoga članka uslijed prirode nezgode nije u mogućnosti pružiti potrebnu hitnu medicinsku pomoć, ustanova za hitnu medicinsku pomoć, odnosno jedinica hitne medicinske pomoći doma zdravlja obvezna je zatražiti pomoć, odnosno sudjelovanje najbliže ustanove za hitnu medicinsku pomoć ili jedinice hitne medicinske pomoći doma zdravlja.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11.</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Ustanova za hitnu medicinsku pomoć, odnosno jedinica hitne medicinske pomoći doma zdravlja po pruženoj intervenciji, u slučaju potrebe, najkraćim putem prevozi ozlijeđene, odnosno oboljele osobe u najbližu zdravstvenu ustanovu koja je u moguć</w:t>
      </w:r>
      <w:r w:rsidRPr="00713C92">
        <w:rPr>
          <w:rFonts w:ascii="Minion Pro" w:eastAsia="Times New Roman" w:hAnsi="Minion Pro" w:cs="Times New Roman"/>
          <w:color w:val="000000"/>
          <w:sz w:val="24"/>
          <w:szCs w:val="24"/>
          <w:bdr w:val="none" w:sz="0" w:space="0" w:color="auto" w:frame="1"/>
          <w:lang w:eastAsia="hr-HR"/>
        </w:rPr>
        <w:softHyphen/>
        <w:t>nosti nastaviti postupak liječenja.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12.</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Djelatnost izvanbolničke hitne medicinske pomoći obavljaju:</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1. Tim hitne medicinske pomoći koji čine:</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liječnik,</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dvije medicinske sestre/medicinski tehničari, od kojih je jedan vozač vozila hitne medicinske pomoći.</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Iznimno, umjesto jedne medicinske sestre/medicinskoga teh</w:t>
      </w:r>
      <w:r w:rsidRPr="00713C92">
        <w:rPr>
          <w:rFonts w:ascii="Minion Pro" w:eastAsia="Times New Roman" w:hAnsi="Minion Pro" w:cs="Times New Roman"/>
          <w:color w:val="000000"/>
          <w:sz w:val="24"/>
          <w:szCs w:val="24"/>
          <w:bdr w:val="none" w:sz="0" w:space="0" w:color="auto" w:frame="1"/>
          <w:lang w:eastAsia="hr-HR"/>
        </w:rPr>
        <w:softHyphen/>
        <w:t>ničara član tima hitne medicinske pomoći može biti vozač zaposlen na tim poslovima na dan stupanja na snagu ovoga Pravilnika. Vozač je obvezan završiti edukaciju sukladno članku 21. ovoga Pravilnika.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2. Tim hitnog prijevoza koji čine:</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dvije medicinske sestre/medicinski tehničari, od kojih je jedan vozač vozila hitne medicinske pomoći.</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Iznimno, umjesto jedne medicinske sestre/medicinskoga teh</w:t>
      </w:r>
      <w:r w:rsidRPr="00713C92">
        <w:rPr>
          <w:rFonts w:ascii="Minion Pro" w:eastAsia="Times New Roman" w:hAnsi="Minion Pro" w:cs="Times New Roman"/>
          <w:color w:val="000000"/>
          <w:sz w:val="24"/>
          <w:szCs w:val="24"/>
          <w:bdr w:val="none" w:sz="0" w:space="0" w:color="auto" w:frame="1"/>
          <w:lang w:eastAsia="hr-HR"/>
        </w:rPr>
        <w:softHyphen/>
        <w:t>ničara član tima hitne medicinske pomoći može biti vozač zaposlen na tim poslovima na dan stupanja na snagu ovoga Pravilnika. Vozač je obvezan završiti edukaciju sukladno članku 21. ovoga Pravilnika.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3. Tim pripravnosti koji čine:</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liječnik,</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medicinska sestra/medicinski tehničar, koji obavlja i poslove vozača.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4. Prijavno-dojavna jedinica koju čine:</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liječnik,</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medicinska sestra/medicinski tehničar.</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23"/>
          <w:szCs w:val="23"/>
          <w:lang w:eastAsia="hr-HR"/>
        </w:rPr>
      </w:pPr>
      <w:r w:rsidRPr="00713C92">
        <w:rPr>
          <w:rFonts w:ascii="Minion Pro" w:eastAsia="Times New Roman" w:hAnsi="Minion Pro" w:cs="Times New Roman"/>
          <w:color w:val="000000"/>
          <w:sz w:val="24"/>
          <w:szCs w:val="24"/>
          <w:bdr w:val="none" w:sz="0" w:space="0" w:color="auto" w:frame="1"/>
          <w:lang w:eastAsia="hr-HR"/>
        </w:rPr>
        <w:lastRenderedPageBreak/>
        <w:t>III. ZADAĆE IZVANBOLNIČKE HITNE MEDICINSKE POMOĆI</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13.</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Liječnik u timu hitne medicinske pomoći obavlja pregled, dijagnostičke postupke, određuje i primjenjuje terapiju prema protokolu i koordinira radom ostalih članova tima. Po potrebi tim hitne medicinske pomoći s mjesta intervencije prevozi bolesnika u zdravstvenu ustanovu.</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Protokol iz stavka 1. ovoga članka na prijedlog nadležne komore, uz prethodno pribavljeno mišljenje Stručnog savjeta za hitnu medicinsku pomoć Ministarstva zdravstva donosi ministar zdravstva.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14.</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Zadaća tima hitnoga prijevoza jest prijevoz bolesnika od mjesta događaja do zdravstvene ustanove, između dvije zdravstvene ustanove, samostalno ili u pratnji liječnika koji je tražio hitni prijevoz bolesnika.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Tim hitnoga prijevoza obavlja poslove sukladno protokolu koji na prijedlog nadležne komore, uz prethodno pribavljeno mišljenje Stručnog savjeta za hitnu medicinsku pomoć Ministarstva zdravstva donosi ministar zdravstva.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15.</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Liječnik u timu pripravnosti vrši pregled, dijagnostičke postupke, određuje i primjenjuje terapiju prema protokolu te koordinira radom drugoga člana tima. Po potrebi tim pripravnosti s mjesta intervencije prevozi ili organizira prijevoz bolesnika u zdravstvenu ustanovu.</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Protokol iz stavka 1. ovoga članka na prijedlog nadležne komore, uz prethodno pribavljeno mišljenje Stručnog savjeta za hitnu medicinsku pomoć Ministarstva zdravstva donosi ministar zdravstva.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16.</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Djelatnici prijavno-dojavne jedinice prema protokolu obav</w:t>
      </w:r>
      <w:r w:rsidRPr="00713C92">
        <w:rPr>
          <w:rFonts w:ascii="Minion Pro" w:eastAsia="Times New Roman" w:hAnsi="Minion Pro" w:cs="Times New Roman"/>
          <w:color w:val="000000"/>
          <w:sz w:val="24"/>
          <w:szCs w:val="24"/>
          <w:bdr w:val="none" w:sz="0" w:space="0" w:color="auto" w:frame="1"/>
          <w:lang w:eastAsia="hr-HR"/>
        </w:rPr>
        <w:softHyphen/>
        <w:t>ljaju prijam poziva, određuju stupanj hitnosti, upućuju tim na intervenciju, obavještavaju bolničku hitnu službu o dolasku hitnoga bolesnika, surađuju s policijom, vatrogasnom službom i drugim odgovarajućim službama i daju savjete pozivatelju za određe</w:t>
      </w:r>
      <w:r w:rsidRPr="00713C92">
        <w:rPr>
          <w:rFonts w:ascii="Minion Pro" w:eastAsia="Times New Roman" w:hAnsi="Minion Pro" w:cs="Times New Roman"/>
          <w:color w:val="000000"/>
          <w:sz w:val="24"/>
          <w:szCs w:val="24"/>
          <w:bdr w:val="none" w:sz="0" w:space="0" w:color="auto" w:frame="1"/>
          <w:lang w:eastAsia="hr-HR"/>
        </w:rPr>
        <w:softHyphen/>
        <w:t>na stanja, odnosno simptome. Odluku o potrebi hitnoga medicinskog zbrinjavanja donosi liječnik</w:t>
      </w:r>
      <w:r w:rsidRPr="00713C92">
        <w:rPr>
          <w:rFonts w:ascii="Minion Pro" w:eastAsia="Times New Roman" w:hAnsi="Minion Pro" w:cs="Times New Roman"/>
          <w:b/>
          <w:bCs/>
          <w:color w:val="000000"/>
          <w:sz w:val="24"/>
          <w:szCs w:val="2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U slučaju kada se prema protokolu ne radi o potrebi hitnog medicinskog zbrinjavanja, liječnik u prijavno-dojavnoj jedinici uputit će bolesnika izabranom liječniku primarne zdravstvene zaštite.</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Protokol iz stavka 1. ovoga članka na prijedlog nadležne komore, uz prethodno pribavljeno mišljenje Stručnog savjeta za hitnu medicinsku pomoć Ministarstva zdravstva donosi ministar zdravstva.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23"/>
          <w:szCs w:val="23"/>
          <w:lang w:eastAsia="hr-HR"/>
        </w:rPr>
      </w:pPr>
      <w:r w:rsidRPr="00713C92">
        <w:rPr>
          <w:rFonts w:ascii="Minion Pro" w:eastAsia="Times New Roman" w:hAnsi="Minion Pro" w:cs="Times New Roman"/>
          <w:color w:val="000000"/>
          <w:sz w:val="24"/>
          <w:szCs w:val="24"/>
          <w:bdr w:val="none" w:sz="0" w:space="0" w:color="auto" w:frame="1"/>
          <w:lang w:eastAsia="hr-HR"/>
        </w:rPr>
        <w:t>IV. DJELATNICI U IZVANBOLNIČKOJ HITNOJ MEDICINSKOJ POMOĆI</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17.</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Djelatnost izvanbolničke hitne medicinske pomoći obavljaju liječnici, medicinske sestre/medicinski tehničari s odgovarajućom edukacijom kako slijedi:</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1. u timu hitne medicine pomoći:</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liječnik s edukacijom iz područja hitne medicinske pomoći i najmanje jednom godinom radnoga iskustva,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medicinska sestra/medicinski tehničar s edukacijom iz pod</w:t>
      </w:r>
      <w:r w:rsidRPr="00713C92">
        <w:rPr>
          <w:rFonts w:ascii="Minion Pro" w:eastAsia="Times New Roman" w:hAnsi="Minion Pro" w:cs="Times New Roman"/>
          <w:color w:val="000000"/>
          <w:sz w:val="24"/>
          <w:szCs w:val="24"/>
          <w:bdr w:val="none" w:sz="0" w:space="0" w:color="auto" w:frame="1"/>
          <w:lang w:eastAsia="hr-HR"/>
        </w:rPr>
        <w:softHyphen/>
        <w:t>ručja hitne medicinske pomoći i propisanim vozačkim ispi</w:t>
      </w:r>
      <w:r w:rsidRPr="00713C92">
        <w:rPr>
          <w:rFonts w:ascii="Minion Pro" w:eastAsia="Times New Roman" w:hAnsi="Minion Pro" w:cs="Times New Roman"/>
          <w:color w:val="000000"/>
          <w:sz w:val="24"/>
          <w:szCs w:val="24"/>
          <w:bdr w:val="none" w:sz="0" w:space="0" w:color="auto" w:frame="1"/>
          <w:lang w:eastAsia="hr-HR"/>
        </w:rPr>
        <w:softHyphen/>
        <w:t>tom,</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2. u timu hitnoga prijevoza: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medicinska sestra/medicinski tehničar s edukacijom iz područja hitne medicinske pomoći, s najmanje jednom godinom radnoga iskustva u timu hitne medicinske pomoći i propisanim vozačkim ispitom,</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3. u timu pripravnosti:</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liječnik s edukacijom iz područja hitne medicinske pomoći i najmanje jednom godinom radnoga iskustva,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lastRenderedPageBreak/>
        <w:t>– medicinska sestra/medicinski tehničar s edukacijom iz pod</w:t>
      </w:r>
      <w:r w:rsidRPr="00713C92">
        <w:rPr>
          <w:rFonts w:ascii="Minion Pro" w:eastAsia="Times New Roman" w:hAnsi="Minion Pro" w:cs="Times New Roman"/>
          <w:color w:val="000000"/>
          <w:sz w:val="24"/>
          <w:szCs w:val="24"/>
          <w:bdr w:val="none" w:sz="0" w:space="0" w:color="auto" w:frame="1"/>
          <w:lang w:eastAsia="hr-HR"/>
        </w:rPr>
        <w:softHyphen/>
        <w:t>ručja hitne medicinske pomoći i propisanim vozačkim ispi</w:t>
      </w:r>
      <w:r w:rsidRPr="00713C92">
        <w:rPr>
          <w:rFonts w:ascii="Minion Pro" w:eastAsia="Times New Roman" w:hAnsi="Minion Pro" w:cs="Times New Roman"/>
          <w:color w:val="000000"/>
          <w:sz w:val="24"/>
          <w:szCs w:val="24"/>
          <w:bdr w:val="none" w:sz="0" w:space="0" w:color="auto" w:frame="1"/>
          <w:lang w:eastAsia="hr-HR"/>
        </w:rPr>
        <w:softHyphen/>
        <w:t>tom,</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4. u prijavno-dojavnoj jedinici:</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liječnik s edukacijom iz područja hitne medicinske pomoći i najmanje tri godine radnoga iskustva u timu hitne medicinske pomoći,</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medicinska sestra/medicinski tehničar s edukacijom iz područja hitne medicinske pomoći i najmanje pet godina radnoga iskustva u timu hitne medicinske pomoći.</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18.</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Članovi tima koji obavljaju djelatnost izvanbolničke hitne medicinske pomoći obvezni su nositi radnu odjeću označenu međunarodnim znakom hitne medicinske pomoći.</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23"/>
          <w:szCs w:val="23"/>
          <w:lang w:eastAsia="hr-HR"/>
        </w:rPr>
      </w:pPr>
      <w:r w:rsidRPr="00713C92">
        <w:rPr>
          <w:rFonts w:ascii="Minion Pro" w:eastAsia="Times New Roman" w:hAnsi="Minion Pro" w:cs="Times New Roman"/>
          <w:color w:val="000000"/>
          <w:sz w:val="24"/>
          <w:szCs w:val="24"/>
          <w:bdr w:val="none" w:sz="0" w:space="0" w:color="auto" w:frame="1"/>
          <w:lang w:eastAsia="hr-HR"/>
        </w:rPr>
        <w:t>V. EDUKACIJA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19.</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Osnovna edukacija liječnika za rad u izvanbolničkoj hitnoj medicinskoj pomoći provodi se putem tečaja prema planu i programu koji je tiskan u Prilogu 1. ovoga Pravilnika i čini njegov sastavni dio.</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Liječnici su obvezni završiti osnovnu edukaciju prije početka rada u timu hitne medicinske pomoći.</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Kontinuirana edukacija liječnika za rad u izvanbolničkoj hitnoj medicinskoj pomoći provodi se putem tečajeva trajne izobrazbe prema planu i programu koji je tiskan u Prilogu 2. ovoga Pravilnika i čini njegov sastavni dio.</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20.</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Osnovna edukacija medicinskih sestara/medicinskih tehniča</w:t>
      </w:r>
      <w:r w:rsidRPr="00713C92">
        <w:rPr>
          <w:rFonts w:ascii="Minion Pro" w:eastAsia="Times New Roman" w:hAnsi="Minion Pro" w:cs="Times New Roman"/>
          <w:color w:val="000000"/>
          <w:sz w:val="24"/>
          <w:szCs w:val="24"/>
          <w:bdr w:val="none" w:sz="0" w:space="0" w:color="auto" w:frame="1"/>
          <w:lang w:eastAsia="hr-HR"/>
        </w:rPr>
        <w:softHyphen/>
        <w:t>ra za rad u izvanbolničkoj hitnoj medicinskoj pomoći provodi se putem tečaja prema planu i programu koji je tiskan u Prilogu 3. ovoga Pravilnika i čini njegov sastavni dio.</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Medicinske sestre/medicinski tehničari obvezni su završiti osnovnu edukaciju prije početka rada u timu hitnoga prijevoza.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Kontinuirana edukacija medicinskih sestara/medicinskih teh</w:t>
      </w:r>
      <w:r w:rsidRPr="00713C92">
        <w:rPr>
          <w:rFonts w:ascii="Minion Pro" w:eastAsia="Times New Roman" w:hAnsi="Minion Pro" w:cs="Times New Roman"/>
          <w:color w:val="000000"/>
          <w:sz w:val="24"/>
          <w:szCs w:val="24"/>
          <w:bdr w:val="none" w:sz="0" w:space="0" w:color="auto" w:frame="1"/>
          <w:lang w:eastAsia="hr-HR"/>
        </w:rPr>
        <w:softHyphen/>
        <w:t>ni</w:t>
      </w:r>
      <w:r w:rsidRPr="00713C92">
        <w:rPr>
          <w:rFonts w:ascii="Minion Pro" w:eastAsia="Times New Roman" w:hAnsi="Minion Pro" w:cs="Times New Roman"/>
          <w:color w:val="000000"/>
          <w:sz w:val="24"/>
          <w:szCs w:val="24"/>
          <w:bdr w:val="none" w:sz="0" w:space="0" w:color="auto" w:frame="1"/>
          <w:lang w:eastAsia="hr-HR"/>
        </w:rPr>
        <w:softHyphen/>
        <w:t>čara za rad u izvanbolničkoj hitnoj medicinskoj pomoći provodi se putem tečajeva trajne izobrazbe prema planu i programu koji je tiskan u Prilogu 4. ovoga Pravilnika i čini njegov sastavni dio.</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21.</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Edukacija vozača u izvanbolničkoj hitnoj medicinskoj pomoći zaposlenih na tim poslovima na dan stupanja na snagu ovoga Pravilnika provodi se putem tečajeva prema planu i programu koji je tiskan u Prilogu 5. ovoga Pravilnika i čini njegov sastavni dio.</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22.</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Edukacija iz članka 19. stavka 1., članka 20. stavka 1. i članka 21. ovoga Pravilnika provodi se u nastavnim jedinicama ustanova za hitnu medicinsku pomoć u gradovima Zagrebu, Osijeku, Rijeci i Splitu, kao i u ostalim zdravstvenim ustanovama koje obavljaju djelatnost hitne medicinske pomoći koje prostorom i opremom udovoljavaju uvjetima iz Priloga 6. koji je sastavni dio ovoga Pravilnika i koje za to ovlasti ministar zdravstva.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Edukaciju iz stavka 1. ovoga članka provode edukatori koje imenuje ministar zdravstva na prijedlog Stručnog savjeta za hitnu medicinsku pomoć Ministarstva zdravstva.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23"/>
          <w:szCs w:val="23"/>
          <w:lang w:eastAsia="hr-HR"/>
        </w:rPr>
      </w:pPr>
      <w:r w:rsidRPr="00713C92">
        <w:rPr>
          <w:rFonts w:ascii="Minion Pro" w:eastAsia="Times New Roman" w:hAnsi="Minion Pro" w:cs="Times New Roman"/>
          <w:color w:val="000000"/>
          <w:sz w:val="24"/>
          <w:szCs w:val="24"/>
          <w:bdr w:val="none" w:sz="0" w:space="0" w:color="auto" w:frame="1"/>
          <w:lang w:eastAsia="hr-HR"/>
        </w:rPr>
        <w:t>VI. SREDSTVA PRIJEVOZA I MEDICINSKO-</w:t>
      </w:r>
      <w:r w:rsidRPr="00713C92">
        <w:rPr>
          <w:rFonts w:ascii="Minion Pro" w:eastAsia="Times New Roman" w:hAnsi="Minion Pro" w:cs="Times New Roman"/>
          <w:color w:val="000000"/>
          <w:sz w:val="24"/>
          <w:szCs w:val="24"/>
          <w:bdr w:val="none" w:sz="0" w:space="0" w:color="auto" w:frame="1"/>
          <w:lang w:eastAsia="hr-HR"/>
        </w:rPr>
        <w:br/>
        <w:t>-TEHNIČKA OPREMA U IZVANBOLNIČKOJ HITNOJ MEDICINSKOJ POMOĆI</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23.</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Sredstva prijevoza u izvanbolničkoj hitnoj medicinskoj po</w:t>
      </w:r>
      <w:r w:rsidRPr="00713C92">
        <w:rPr>
          <w:rFonts w:ascii="Minion Pro" w:eastAsia="Times New Roman" w:hAnsi="Minion Pro" w:cs="Times New Roman"/>
          <w:color w:val="000000"/>
          <w:sz w:val="24"/>
          <w:szCs w:val="24"/>
          <w:bdr w:val="none" w:sz="0" w:space="0" w:color="auto" w:frame="1"/>
          <w:lang w:eastAsia="hr-HR"/>
        </w:rPr>
        <w:softHyphen/>
        <w:t>mo</w:t>
      </w:r>
      <w:r w:rsidRPr="00713C92">
        <w:rPr>
          <w:rFonts w:ascii="Minion Pro" w:eastAsia="Times New Roman" w:hAnsi="Minion Pro" w:cs="Times New Roman"/>
          <w:color w:val="000000"/>
          <w:sz w:val="24"/>
          <w:szCs w:val="24"/>
          <w:bdr w:val="none" w:sz="0" w:space="0" w:color="auto" w:frame="1"/>
          <w:lang w:eastAsia="hr-HR"/>
        </w:rPr>
        <w:softHyphen/>
        <w:t>ći su sva prijevozna sredstva koja omogućavaju pružanje hitne medicinske pomoći.</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Uvjeti u pogledu tehničkih karakteristika cestovnih vozila za prijevoz u izvanbolničkoj hitnoj medicinskoj pomoći, sukladno EN 1789, utvrđeni su u Prilogu 7. ovoga Pravilnika koji čini njegov sastavni dio.</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Broj vozila zdravstvene ustanove mora najmanje biti jednak broju ugovorenih timova.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lastRenderedPageBreak/>
        <w:t>Uvjeti u pogledu medicinsko-tehničke opreme cestovnih vozila za prijevoz u izvanbolničkoj hitnoj medicinskoj pomoći utvrđeni su u Prilogu 8. ovoga Pravilnika koji čini njegov sastavni dio.</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24.</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Popis obveznih lijekova u sredstvima za prijevoz u izvan</w:t>
      </w:r>
      <w:r w:rsidRPr="00713C92">
        <w:rPr>
          <w:rFonts w:ascii="Minion Pro" w:eastAsia="Times New Roman" w:hAnsi="Minion Pro" w:cs="Times New Roman"/>
          <w:color w:val="000000"/>
          <w:sz w:val="24"/>
          <w:szCs w:val="24"/>
          <w:bdr w:val="none" w:sz="0" w:space="0" w:color="auto" w:frame="1"/>
          <w:lang w:eastAsia="hr-HR"/>
        </w:rPr>
        <w:softHyphen/>
        <w:t>bol</w:t>
      </w:r>
      <w:r w:rsidRPr="00713C92">
        <w:rPr>
          <w:rFonts w:ascii="Minion Pro" w:eastAsia="Times New Roman" w:hAnsi="Minion Pro" w:cs="Times New Roman"/>
          <w:color w:val="000000"/>
          <w:sz w:val="24"/>
          <w:szCs w:val="24"/>
          <w:bdr w:val="none" w:sz="0" w:space="0" w:color="auto" w:frame="1"/>
          <w:lang w:eastAsia="hr-HR"/>
        </w:rPr>
        <w:softHyphen/>
        <w:t>ničkoj hitnoj medicinskoj pomoći utvrđen je u Prilogu 9. ovoga Pravilnika koji čini njegov sastavni dio.</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23"/>
          <w:szCs w:val="23"/>
          <w:lang w:eastAsia="hr-HR"/>
        </w:rPr>
      </w:pPr>
      <w:r w:rsidRPr="00713C92">
        <w:rPr>
          <w:rFonts w:ascii="Minion Pro" w:eastAsia="Times New Roman" w:hAnsi="Minion Pro" w:cs="Times New Roman"/>
          <w:color w:val="000000"/>
          <w:sz w:val="24"/>
          <w:szCs w:val="24"/>
          <w:bdr w:val="none" w:sz="0" w:space="0" w:color="auto" w:frame="1"/>
          <w:lang w:eastAsia="hr-HR"/>
        </w:rPr>
        <w:t>VII. DOKUMENTACIJA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25.</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O radu djelatnosti izvanbolničke hitne medicinske pomoći vodi se dokumentacija na obrascima tiskanim u Prilogu 10. ovog Pravilnika koji čini njegov sastavni dio i to:</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1. obrazac za prijam poziva hitne medicinske pomoći,</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2. obrazac za prijam poziva za hitni prijevoz,</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3. obrazac o kretanju timova na terenu,</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4. obrazac za primopredaju vozila,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5. obrazac o izvanrednom događaju,</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6. obrazac za trijažu kod većih nezgoda,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7. obrazac medicinske dokumentacije o bolesniku,</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8. obrazac za praćenje postupka oživljavanja,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9. obrazac provedenih postupaka medicinske sestre/medicinskog tehničara.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26.</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Popunjene propisane obrasce iz članka 25. točke 1., 2., 3., 4., 5. i 8. ovoga Pravilnika zadržava za potrebe svoje evidencije ustanova za hitnu medicinsku pomoć i dom zdravlja.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Popunjeni propisani obrazac iz članka 25. točke 6. ovoga Pravilnika sastavni je dio medicinske dokumentacije bolesnika koji se upućuje u zdravstvenu ustanovu radi postupka završnoga liječenja.</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Propisani obrasci iz članka 25. točke 7. i 9. popunjavaju se u dva primjerka, od kojih jedan za potrebe svoje evidencije zadržava ustanova za hitnu medicinsku pomoć i dom zdravlja, a drugi je sastavni dio medicinske dokumentacije bolesnika koji se upućuje u zdravstvenu ustanovu radi postupka završnoga liječe</w:t>
      </w:r>
      <w:r w:rsidRPr="00713C92">
        <w:rPr>
          <w:rFonts w:ascii="Minion Pro" w:eastAsia="Times New Roman" w:hAnsi="Minion Pro" w:cs="Times New Roman"/>
          <w:color w:val="000000"/>
          <w:sz w:val="24"/>
          <w:szCs w:val="24"/>
          <w:bdr w:val="none" w:sz="0" w:space="0" w:color="auto" w:frame="1"/>
          <w:lang w:eastAsia="hr-HR"/>
        </w:rPr>
        <w:softHyphen/>
        <w:t>nja.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23"/>
          <w:szCs w:val="23"/>
          <w:lang w:eastAsia="hr-HR"/>
        </w:rPr>
      </w:pPr>
      <w:r w:rsidRPr="00713C92">
        <w:rPr>
          <w:rFonts w:ascii="Minion Pro" w:eastAsia="Times New Roman" w:hAnsi="Minion Pro" w:cs="Times New Roman"/>
          <w:color w:val="000000"/>
          <w:sz w:val="24"/>
          <w:szCs w:val="24"/>
          <w:bdr w:val="none" w:sz="0" w:space="0" w:color="auto" w:frame="1"/>
          <w:lang w:eastAsia="hr-HR"/>
        </w:rPr>
        <w:t>VIII. ŽUPANIJSKA PRIJAVNO-DOJAVNA JEDINICA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27.</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Prijavno-dojavna jedinica organizira se na županijskoj razini.</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Članak 28.</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U prijavno-dojavnoj jedinici tijekom 24 sata mora raditi najmanje jedan liječnik i jedna medicinska sestra/medicinski tehni</w:t>
      </w:r>
      <w:r w:rsidRPr="00713C92">
        <w:rPr>
          <w:rFonts w:ascii="Minion Pro" w:eastAsia="Times New Roman" w:hAnsi="Minion Pro" w:cs="Times New Roman"/>
          <w:color w:val="000000"/>
          <w:sz w:val="24"/>
          <w:szCs w:val="24"/>
          <w:bdr w:val="none" w:sz="0" w:space="0" w:color="auto" w:frame="1"/>
          <w:lang w:eastAsia="hr-HR"/>
        </w:rPr>
        <w:softHyphen/>
        <w:t>čar.</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29.</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Svaka prijavno-dojavna jedinica mora imati najmanje dvije telefonske linije 94 kao i direktne telefonske linije.</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Veza između vozila hitne medicinske pomoći i prijavno-do</w:t>
      </w:r>
      <w:r w:rsidRPr="00713C92">
        <w:rPr>
          <w:rFonts w:ascii="Minion Pro" w:eastAsia="Times New Roman" w:hAnsi="Minion Pro" w:cs="Times New Roman"/>
          <w:color w:val="000000"/>
          <w:sz w:val="24"/>
          <w:szCs w:val="24"/>
          <w:bdr w:val="none" w:sz="0" w:space="0" w:color="auto" w:frame="1"/>
          <w:lang w:eastAsia="hr-HR"/>
        </w:rPr>
        <w:softHyphen/>
        <w:t>jav</w:t>
      </w:r>
      <w:r w:rsidRPr="00713C92">
        <w:rPr>
          <w:rFonts w:ascii="Minion Pro" w:eastAsia="Times New Roman" w:hAnsi="Minion Pro" w:cs="Times New Roman"/>
          <w:color w:val="000000"/>
          <w:sz w:val="24"/>
          <w:szCs w:val="24"/>
          <w:bdr w:val="none" w:sz="0" w:space="0" w:color="auto" w:frame="1"/>
          <w:lang w:eastAsia="hr-HR"/>
        </w:rPr>
        <w:softHyphen/>
        <w:t>ne jedinice provodi se putem UKV i GSM veza.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30.</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Svi razgovori u prijavno-dojavnoj jedinici moraju se snimati i pohranjivati na trajnom mediju.</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23"/>
          <w:szCs w:val="23"/>
          <w:lang w:eastAsia="hr-HR"/>
        </w:rPr>
      </w:pPr>
      <w:r w:rsidRPr="00713C92">
        <w:rPr>
          <w:rFonts w:ascii="Minion Pro" w:eastAsia="Times New Roman" w:hAnsi="Minion Pro" w:cs="Times New Roman"/>
          <w:color w:val="000000"/>
          <w:sz w:val="24"/>
          <w:szCs w:val="24"/>
          <w:bdr w:val="none" w:sz="0" w:space="0" w:color="auto" w:frame="1"/>
          <w:lang w:eastAsia="hr-HR"/>
        </w:rPr>
        <w:t>IX. POSEBNE ODREDBE</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31.</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Izvanbolnička hitna medicinska pomoć organizira se za potrebe zdravstvene zaštite u posebnim uvjetima (slučajevi izvanrednih okolnosti, katastrofa i epidemija većih razmjera) u koordinaciji s Kriznim stožerom Ministarstva zdravstva.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32.</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lastRenderedPageBreak/>
        <w:t>Izvanbolnička hitna medicinska pomoć na sportskim i drugim masovnim priredbama provodi se na temelju ugovora između organizatora priredbe i ustanova za hitnu medicinsku pomoć, odnosno doma zdravlja.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23"/>
          <w:szCs w:val="23"/>
          <w:lang w:eastAsia="hr-HR"/>
        </w:rPr>
      </w:pPr>
      <w:r w:rsidRPr="00713C92">
        <w:rPr>
          <w:rFonts w:ascii="Minion Pro" w:eastAsia="Times New Roman" w:hAnsi="Minion Pro" w:cs="Times New Roman"/>
          <w:color w:val="000000"/>
          <w:sz w:val="24"/>
          <w:szCs w:val="24"/>
          <w:bdr w:val="none" w:sz="0" w:space="0" w:color="auto" w:frame="1"/>
          <w:lang w:eastAsia="hr-HR"/>
        </w:rPr>
        <w:t>X. STRUČNI SAVJET ZA HITNU MEDICINSKU POMOĆ MINISTARSTVA ZDRAVSTVA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33.</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Za rješavanje stručnih pitanja iz područja hitne medicinske pomoći ministar zdravstva imenuje Stručni savjet za hitnu medicinsku pomoć Ministarstva zdravstva.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23"/>
          <w:szCs w:val="23"/>
          <w:lang w:eastAsia="hr-HR"/>
        </w:rPr>
      </w:pPr>
      <w:r w:rsidRPr="00713C92">
        <w:rPr>
          <w:rFonts w:ascii="Minion Pro" w:eastAsia="Times New Roman" w:hAnsi="Minion Pro" w:cs="Times New Roman"/>
          <w:color w:val="000000"/>
          <w:sz w:val="24"/>
          <w:szCs w:val="24"/>
          <w:bdr w:val="none" w:sz="0" w:space="0" w:color="auto" w:frame="1"/>
          <w:lang w:eastAsia="hr-HR"/>
        </w:rPr>
        <w:t>XI. PRIJELAZNE I ZAVRŠNE ODREDBE</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34.</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Ustanove za hitnu medicinsku pomoć i domovi zdravlja dužni su uskladiti svoje ustrojstvo i poslovanje s odredbama ovoga Pravilnika u roku od šest mjeseci od dana stupanja na snagu ovoga Pravilnika.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35.</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Vozači u izvanbolničkoj hitnoj medicinskoj pomoći zaposleni na tim poslovima na dan stupanja na snagu ovoga Pravilnika obvezni su završiti edukaciju iz članka 21. ovoga Pravilnika u roku od godine dana od dana stupanja na snagu ovoga Pravilnika.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36.</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Ministar zdravstva će u roku od mjesec dana od dana stupanja na snagu ovoga Pravilnika imenovati Stručni savjet za hitnu medicinsku pomoć ministarstva zdravstva.</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Članak 37.</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Stupanjem na snagu ovoga Pravilnika prestaje važiti Pravilnik o uvjetima, organizaciji i načinu rada hitne medicinske pomoći na javnim cestama u Republici Hrvatskoj (»Narodne novine«, br. 33/91).</w:t>
      </w:r>
    </w:p>
    <w:p w:rsidR="00713C92" w:rsidRPr="00713C92" w:rsidRDefault="00713C92" w:rsidP="00713C92">
      <w:pPr>
        <w:spacing w:after="0" w:line="240" w:lineRule="auto"/>
        <w:jc w:val="center"/>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Članak 38.</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Ovaj Pravilnik stupa na snagu osmoga dana od dana objave u »Narodnim novinama«.</w:t>
      </w:r>
    </w:p>
    <w:p w:rsidR="00713C92" w:rsidRPr="00713C92" w:rsidRDefault="00713C92" w:rsidP="00713C92">
      <w:pPr>
        <w:spacing w:after="0" w:line="240" w:lineRule="auto"/>
        <w:ind w:left="342"/>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Klasa: 011-02/03-04/34                                                                 Urbroj: 534-03-01-02/1-03-01</w:t>
      </w:r>
    </w:p>
    <w:p w:rsidR="00713C92" w:rsidRPr="00713C92" w:rsidRDefault="00713C92" w:rsidP="00713C92">
      <w:pPr>
        <w:spacing w:after="0" w:line="240" w:lineRule="auto"/>
        <w:ind w:left="342"/>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Zagreb, 8. rujna 2003.</w:t>
      </w:r>
    </w:p>
    <w:p w:rsidR="00713C92" w:rsidRPr="00713C92" w:rsidRDefault="00713C92" w:rsidP="00713C92">
      <w:pPr>
        <w:spacing w:after="0" w:line="240" w:lineRule="auto"/>
        <w:jc w:val="center"/>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val="en-GB" w:eastAsia="hr-HR"/>
        </w:rPr>
        <w:t>Ministar</w:t>
      </w:r>
      <w:r w:rsidRPr="00713C92">
        <w:rPr>
          <w:rFonts w:ascii="Minion Pro" w:eastAsia="Times New Roman" w:hAnsi="Minion Pro" w:cs="Times New Roman"/>
          <w:color w:val="000000"/>
          <w:sz w:val="24"/>
          <w:szCs w:val="24"/>
          <w:bdr w:val="none" w:sz="0" w:space="0" w:color="auto" w:frame="1"/>
          <w:lang w:val="en-GB" w:eastAsia="hr-HR"/>
        </w:rPr>
        <w:br/>
      </w:r>
      <w:r w:rsidRPr="00713C92">
        <w:rPr>
          <w:rFonts w:ascii="Minion Pro" w:eastAsia="Times New Roman" w:hAnsi="Minion Pro" w:cs="Times New Roman"/>
          <w:b/>
          <w:bCs/>
          <w:color w:val="000000"/>
          <w:sz w:val="24"/>
          <w:szCs w:val="24"/>
          <w:bdr w:val="none" w:sz="0" w:space="0" w:color="auto" w:frame="1"/>
          <w:lang w:val="en-GB" w:eastAsia="hr-HR"/>
        </w:rPr>
        <w:t>mr. sc. </w:t>
      </w:r>
      <w:r w:rsidRPr="00713C92">
        <w:rPr>
          <w:rFonts w:ascii="Minion Pro" w:eastAsia="Times New Roman" w:hAnsi="Minion Pro" w:cs="Times New Roman"/>
          <w:b/>
          <w:bCs/>
          <w:color w:val="000000"/>
          <w:sz w:val="24"/>
          <w:szCs w:val="24"/>
          <w:bdr w:val="none" w:sz="0" w:space="0" w:color="auto" w:frame="1"/>
          <w:lang w:val="de-DE" w:eastAsia="hr-HR"/>
        </w:rPr>
        <w:t>Andro Vlahušić, dr. med</w:t>
      </w:r>
      <w:r w:rsidRPr="00713C92">
        <w:rPr>
          <w:rFonts w:ascii="Minion Pro" w:eastAsia="Times New Roman" w:hAnsi="Minion Pro" w:cs="Times New Roman"/>
          <w:color w:val="000000"/>
          <w:sz w:val="24"/>
          <w:szCs w:val="24"/>
          <w:bdr w:val="none" w:sz="0" w:space="0" w:color="auto" w:frame="1"/>
          <w:lang w:val="de-DE" w:eastAsia="hr-HR"/>
        </w:rPr>
        <w:t>., v. r.</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ind w:firstLine="720"/>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Prilog 1.</w:t>
      </w:r>
    </w:p>
    <w:p w:rsidR="00713C92" w:rsidRPr="00713C92" w:rsidRDefault="00713C92" w:rsidP="00713C92">
      <w:pPr>
        <w:spacing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tbl>
      <w:tblPr>
        <w:tblW w:w="14427" w:type="dxa"/>
        <w:tblInd w:w="88" w:type="dxa"/>
        <w:tblCellMar>
          <w:left w:w="0" w:type="dxa"/>
          <w:right w:w="0" w:type="dxa"/>
        </w:tblCellMar>
        <w:tblLook w:val="04A0" w:firstRow="1" w:lastRow="0" w:firstColumn="1" w:lastColumn="0" w:noHBand="0" w:noVBand="1"/>
      </w:tblPr>
      <w:tblGrid>
        <w:gridCol w:w="602"/>
        <w:gridCol w:w="12251"/>
        <w:gridCol w:w="468"/>
        <w:gridCol w:w="468"/>
        <w:gridCol w:w="638"/>
      </w:tblGrid>
      <w:tr w:rsidR="00713C92" w:rsidRPr="00713C92" w:rsidTr="00713C92">
        <w:trPr>
          <w:trHeight w:val="450"/>
        </w:trPr>
        <w:tc>
          <w:tcPr>
            <w:tcW w:w="14427" w:type="dxa"/>
            <w:gridSpan w:val="5"/>
            <w:tcBorders>
              <w:top w:val="single" w:sz="4" w:space="0" w:color="auto"/>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lang w:eastAsia="hr-HR"/>
              </w:rPr>
              <w:t>PLAN I PROGRAM OSNOVNE EDUKACIJE LIJEČNIKA</w:t>
            </w:r>
          </w:p>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lang w:eastAsia="hr-HR"/>
              </w:rPr>
              <w:t>ZA RAD U IZVANBOLNIČKOJ HITNOJ MEDICINSKOJ POMOĆI</w:t>
            </w:r>
          </w:p>
        </w:tc>
      </w:tr>
      <w:tr w:rsidR="00713C92" w:rsidRPr="00713C92" w:rsidTr="00713C92">
        <w:trPr>
          <w:trHeight w:val="300"/>
        </w:trPr>
        <w:tc>
          <w:tcPr>
            <w:tcW w:w="60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Br.</w:t>
            </w:r>
          </w:p>
        </w:tc>
        <w:tc>
          <w:tcPr>
            <w:tcW w:w="12251"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T</w:t>
            </w:r>
          </w:p>
        </w:tc>
        <w:tc>
          <w:tcPr>
            <w:tcW w:w="468"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P</w:t>
            </w:r>
          </w:p>
        </w:tc>
        <w:tc>
          <w:tcPr>
            <w:tcW w:w="638"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UK</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Uvod</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Organizacijski modeli službe HMP kod nas i u svijetu</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Vozila / oprema / djelatnici u HMP</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Poznavanje korištenja sustava veza na terenu, dispečerskom centru i osnove informatike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4</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6</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prijam i trijaža hitnog poziva te upućivanje tima na intervenciju</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Mjere zaštite od infektivnih bolesti i upotreba zaštitne opreme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Primarni i sekundarni pregled bolesne i ozlijeđene osobe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14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Trijaža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Temeljni postupci održavanja života odraslih prema smjernicama ERC-a (BLS)</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Dodatni postupci održavanja života odraslih prema smjernicama ERC-a (ALS)</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Tehnike otvaranja i održavanja prohodnosti dišnih putova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lastRenderedPageBreak/>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orofaringealni i nazofaringealni tubus (indikacije, određivanje veličine, tehnike postavljanja)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sukcioni aparat (korištenje, rastavljanje i čišćenje)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Sellickov postupak</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   Primjena kisika (pomoću katetera i Ohio maske, poznavanje opreme)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Umjetno disanje metodom</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pomoću maske i samoširećeg balona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endotrahealna intubacije (poznavanje opreme i postupka)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alternativne metode održavanja prohodnosti dišnih puteva (laringealna maska, kombinirani tubus, konikotomija)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Upotreba transportnog ventilatora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Trajni nadzor srčane akcije (monitoring)  sa poznavanjem tehnike snimanja EKG-a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prepoznavanje osnovni poremećaja srčanog ritma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Električna defibrilacija srca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Lijekovi u oživljavanju</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1 </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3.</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Temeljni i dodatni  postupci oživljavanja djece</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4.</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Načini primjene lijekova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5.</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Hitna laboratorijska dijagnostika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6.</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Vrste krvarenja i metode zaustavljanja krvarenja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uzroci i vrste krvarenja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metode zaustavljanja krvarenja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unutrašnje krvarenje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7.</w:t>
            </w:r>
          </w:p>
        </w:tc>
        <w:tc>
          <w:tcPr>
            <w:tcW w:w="12251"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Šok –osnovna klinička diferencijalna dijagnoza šoka i liječenje</w:t>
            </w:r>
          </w:p>
        </w:tc>
        <w:tc>
          <w:tcPr>
            <w:tcW w:w="468"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468"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8.</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Vrste ozljeda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    Politrauma</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    -određivanje terapijskih prioriteta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Kraniocerebralne ozljede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Ozljede prsnog koša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zbrinjavanje ventilnog pneumotoraksa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Ozljede trbuha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   Ozljede kralježnice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 imobilizacija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Schantzov ovratnik</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vakuum madrac</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rasklopna nosila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duga daska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prsluk za imobilizaciju i izvlačenje ( Extrication Device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Ozljede okrajina, zglobova i velikih krvnih žila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    </w:t>
            </w:r>
            <w:r w:rsidRPr="00713C92">
              <w:rPr>
                <w:rFonts w:ascii="Minion Pro" w:eastAsia="Times New Roman" w:hAnsi="Minion Pro" w:cs="Times New Roman"/>
                <w:sz w:val="24"/>
                <w:szCs w:val="24"/>
                <w:bdr w:val="none" w:sz="0" w:space="0" w:color="auto" w:frame="1"/>
                <w:lang w:eastAsia="hr-HR"/>
              </w:rPr>
              <w:t>- imobilizacija: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Kramerove udlage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specijalne udlage ( vakuum, pneumatske i dr.)</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imobilizacija zdjelice i natkoljenice prslukom za imobilizaciju i izvlačenje ( Extrication Device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Gnječne i udarne ozljede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Postupak s amputiranim dijelom tijela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Postupak kod opeklina i smrzotina</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Postupak kod kemijske ozljede</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Zavojni materijal ( najčešći zavoji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9. 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Tehnike izvlačenja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lastRenderedPageBreak/>
              <w:t>10.</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Skidanje kacige ozlijeđenog</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11.</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Akcidentalna stanja ili stanja uzrokovana fizičkim činiocima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Poremećaji uzrokovani povišenom temperaturom okoliša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Poremećaji uzrokovani sniženom temperaturom okoliša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 Hiblerov omotač ( poznavanje i korištenje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Strujni udar i udar groma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Utapanje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Nezgode tijekom ronjenja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Visinska bolest</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Vješanje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386"/>
            </w:tblGrid>
            <w:tr w:rsidR="00713C92" w:rsidRPr="00713C92">
              <w:trPr>
                <w:trHeight w:val="465"/>
                <w:tblCellSpacing w:w="0" w:type="dxa"/>
              </w:trPr>
              <w:tc>
                <w:tcPr>
                  <w:tcW w:w="645"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386"/>
                  </w:tblGrid>
                  <w:tr w:rsidR="00713C92" w:rsidRPr="00713C92">
                    <w:trPr>
                      <w:tblCellSpacing w:w="0" w:type="dxa"/>
                    </w:trPr>
                    <w:tc>
                      <w:tcPr>
                        <w:tcW w:w="0" w:type="auto"/>
                        <w:tcBorders>
                          <w:top w:val="nil"/>
                          <w:left w:val="nil"/>
                          <w:bottom w:val="nil"/>
                          <w:right w:val="nil"/>
                        </w:tcBorders>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0"/>
                            <w:szCs w:val="20"/>
                            <w:bdr w:val="none" w:sz="0" w:space="0" w:color="auto" w:frame="1"/>
                            <w:lang w:eastAsia="hr-HR"/>
                          </w:rPr>
                          <w:t>12</w:t>
                        </w:r>
                        <w:r w:rsidRPr="00713C92">
                          <w:rPr>
                            <w:rFonts w:ascii="Times New Roman" w:eastAsia="Times New Roman" w:hAnsi="Times New Roman" w:cs="Times New Roman"/>
                            <w:sz w:val="24"/>
                            <w:szCs w:val="24"/>
                            <w:lang w:eastAsia="hr-HR"/>
                          </w:rPr>
                          <w:t>.</w:t>
                        </w:r>
                      </w:p>
                    </w:tc>
                  </w:tr>
                </w:tbl>
                <w:p w:rsidR="00713C92" w:rsidRPr="00713C92" w:rsidRDefault="00713C92" w:rsidP="00713C92">
                  <w:pPr>
                    <w:spacing w:after="0" w:line="240" w:lineRule="auto"/>
                    <w:rPr>
                      <w:rFonts w:ascii="Minion Pro" w:eastAsia="Times New Roman" w:hAnsi="Minion Pro" w:cs="Times New Roman"/>
                      <w:sz w:val="20"/>
                      <w:szCs w:val="20"/>
                      <w:lang w:eastAsia="hr-HR"/>
                    </w:rPr>
                  </w:pPr>
                  <w:r w:rsidRPr="00713C92">
                    <w:rPr>
                      <w:rFonts w:ascii="Minion Pro" w:eastAsia="Times New Roman" w:hAnsi="Minion Pro" w:cs="Times New Roman"/>
                      <w:sz w:val="20"/>
                      <w:szCs w:val="20"/>
                      <w:lang w:eastAsia="hr-HR"/>
                    </w:rPr>
                    <w:t> </w:t>
                  </w:r>
                </w:p>
              </w:tc>
            </w:tr>
          </w:tbl>
          <w:p w:rsidR="00713C92" w:rsidRPr="00713C92" w:rsidRDefault="00713C92" w:rsidP="00713C92">
            <w:pPr>
              <w:spacing w:after="0" w:line="240" w:lineRule="auto"/>
              <w:rPr>
                <w:rFonts w:ascii="Minion Pro" w:eastAsia="Times New Roman" w:hAnsi="Minion Pro" w:cs="Times New Roman"/>
                <w:sz w:val="20"/>
                <w:szCs w:val="20"/>
                <w:lang w:eastAsia="hr-HR"/>
              </w:rPr>
            </w:pP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Akutni radijacijski sindrom</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Najčešća hitna stanja</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u ginekologiji i porodiljstvu</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 </w:t>
            </w:r>
            <w:r w:rsidRPr="00713C92">
              <w:rPr>
                <w:rFonts w:ascii="Minion Pro" w:eastAsia="Times New Roman" w:hAnsi="Minion Pro" w:cs="Times New Roman"/>
                <w:sz w:val="24"/>
                <w:szCs w:val="24"/>
                <w:bdr w:val="none" w:sz="0" w:space="0" w:color="auto" w:frame="1"/>
                <w:lang w:eastAsia="hr-HR"/>
              </w:rPr>
              <w:t>u pedijatriji</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u internoj medicini</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u kirurgiji</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u psihijatriji</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u neurologiji</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6</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6</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386"/>
            </w:tblGrid>
            <w:tr w:rsidR="00713C92" w:rsidRPr="00713C92">
              <w:trPr>
                <w:trHeight w:val="570"/>
                <w:tblCellSpacing w:w="0" w:type="dxa"/>
              </w:trPr>
              <w:tc>
                <w:tcPr>
                  <w:tcW w:w="75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386"/>
                  </w:tblGrid>
                  <w:tr w:rsidR="00713C92" w:rsidRPr="00713C92">
                    <w:trPr>
                      <w:tblCellSpacing w:w="0" w:type="dxa"/>
                    </w:trPr>
                    <w:tc>
                      <w:tcPr>
                        <w:tcW w:w="0" w:type="auto"/>
                        <w:tcBorders>
                          <w:top w:val="nil"/>
                          <w:left w:val="nil"/>
                          <w:bottom w:val="nil"/>
                          <w:right w:val="nil"/>
                        </w:tcBorders>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0"/>
                            <w:szCs w:val="20"/>
                            <w:bdr w:val="none" w:sz="0" w:space="0" w:color="auto" w:frame="1"/>
                            <w:lang w:eastAsia="hr-HR"/>
                          </w:rPr>
                          <w:t>13.</w:t>
                        </w:r>
                      </w:p>
                    </w:tc>
                  </w:tr>
                </w:tbl>
                <w:p w:rsidR="00713C92" w:rsidRPr="00713C92" w:rsidRDefault="00713C92" w:rsidP="00713C92">
                  <w:pPr>
                    <w:spacing w:after="0" w:line="240" w:lineRule="auto"/>
                    <w:rPr>
                      <w:rFonts w:ascii="Minion Pro" w:eastAsia="Times New Roman" w:hAnsi="Minion Pro" w:cs="Times New Roman"/>
                      <w:sz w:val="20"/>
                      <w:szCs w:val="20"/>
                      <w:lang w:eastAsia="hr-HR"/>
                    </w:rPr>
                  </w:pPr>
                  <w:r w:rsidRPr="00713C92">
                    <w:rPr>
                      <w:rFonts w:ascii="Minion Pro" w:eastAsia="Times New Roman" w:hAnsi="Minion Pro" w:cs="Times New Roman"/>
                      <w:sz w:val="20"/>
                      <w:szCs w:val="20"/>
                      <w:lang w:eastAsia="hr-HR"/>
                    </w:rPr>
                    <w:t> </w:t>
                  </w:r>
                </w:p>
              </w:tc>
            </w:tr>
          </w:tbl>
          <w:p w:rsidR="00713C92" w:rsidRPr="00713C92" w:rsidRDefault="00713C92" w:rsidP="00713C92">
            <w:pPr>
              <w:spacing w:after="0" w:line="240" w:lineRule="auto"/>
              <w:rPr>
                <w:rFonts w:ascii="Minion Pro" w:eastAsia="Times New Roman" w:hAnsi="Minion Pro" w:cs="Times New Roman"/>
                <w:sz w:val="20"/>
                <w:szCs w:val="20"/>
                <w:lang w:eastAsia="hr-HR"/>
              </w:rPr>
            </w:pP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Akutna otrovanja i postupci zbrinjavanja</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-definicija i klasifikacija otrova</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-identifikacija otrova</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-sprečavanje apsorpcije otrova</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-eliminacija otrova</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-najčešća akutna otrovanja</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-bojni otrovi</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-primjena antidota i antagonista u izvanbolničkim uvjetima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14.</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Lijekovi u izvanbolničkim uvjetima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15.</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Načini transporta </w:t>
            </w:r>
            <w:r w:rsidRPr="00713C92">
              <w:rPr>
                <w:rFonts w:ascii="Minion Pro" w:eastAsia="Times New Roman" w:hAnsi="Minion Pro" w:cs="Times New Roman"/>
                <w:sz w:val="24"/>
                <w:szCs w:val="24"/>
                <w:bdr w:val="none" w:sz="0" w:space="0" w:color="auto" w:frame="1"/>
                <w:lang w:eastAsia="hr-HR"/>
              </w:rPr>
              <w:t>(nosilima, kardijalnom stolicom, platnenim nosilima, prenošenje i manevriranje nepokretnog pacijenta)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16.</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Transportni položaji</w:t>
            </w:r>
            <w:r w:rsidRPr="00713C92">
              <w:rPr>
                <w:rFonts w:ascii="Minion Pro" w:eastAsia="Times New Roman" w:hAnsi="Minion Pro" w:cs="Times New Roman"/>
                <w:sz w:val="24"/>
                <w:szCs w:val="24"/>
                <w:bdr w:val="none" w:sz="0" w:space="0" w:color="auto" w:frame="1"/>
                <w:lang w:eastAsia="hr-HR"/>
              </w:rPr>
              <w:t> (indikacija i postupak postavljanja)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17.</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Nadzor bolesne i ozlijeđene osobe tijekom transporta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18.</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Masovne nesreće i kemijske katastrofe</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19.</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Komunikacijske vještine u hitnim situacijama </w:t>
            </w:r>
            <w:r w:rsidRPr="00713C92">
              <w:rPr>
                <w:rFonts w:ascii="Minion Pro" w:eastAsia="Times New Roman" w:hAnsi="Minion Pro" w:cs="Times New Roman"/>
                <w:sz w:val="24"/>
                <w:szCs w:val="24"/>
                <w:bdr w:val="none" w:sz="0" w:space="0" w:color="auto" w:frame="1"/>
                <w:lang w:eastAsia="hr-HR"/>
              </w:rPr>
              <w:t>( rješavanje konflikta, agresivni pacijent, psihološka potpora pacijentu i obitelji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20.</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Dokumentacija  liječnika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2</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21.</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Prikazi slučajeva - scenariji</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15"/>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480"/>
        </w:trPr>
        <w:tc>
          <w:tcPr>
            <w:tcW w:w="602"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40</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30</w:t>
            </w:r>
          </w:p>
        </w:tc>
        <w:tc>
          <w:tcPr>
            <w:tcW w:w="63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lang w:eastAsia="hr-HR"/>
              </w:rPr>
              <w:t>70</w:t>
            </w:r>
          </w:p>
        </w:tc>
      </w:tr>
      <w:tr w:rsidR="00713C92" w:rsidRPr="00713C92" w:rsidTr="00713C92">
        <w:trPr>
          <w:trHeight w:val="60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45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88" w:lineRule="atLeast"/>
              <w:textAlignment w:val="baseline"/>
              <w:outlineLvl w:val="1"/>
              <w:rPr>
                <w:rFonts w:ascii="Minion Pro" w:eastAsia="Times New Roman" w:hAnsi="Minion Pro" w:cs="Times New Roman"/>
                <w:b/>
                <w:bCs/>
                <w:sz w:val="36"/>
                <w:szCs w:val="36"/>
                <w:lang w:eastAsia="hr-HR"/>
              </w:rPr>
            </w:pPr>
            <w:r w:rsidRPr="00713C92">
              <w:rPr>
                <w:rFonts w:ascii="Minion Pro" w:eastAsia="Times New Roman" w:hAnsi="Minion Pro" w:cs="Times New Roman"/>
                <w:b/>
                <w:bCs/>
                <w:sz w:val="24"/>
                <w:szCs w:val="24"/>
                <w:bdr w:val="none" w:sz="0" w:space="0" w:color="auto" w:frame="1"/>
                <w:lang w:val="en-GB" w:eastAsia="hr-HR"/>
              </w:rPr>
              <w:t>Teorijski dio</w:t>
            </w:r>
          </w:p>
        </w:tc>
        <w:tc>
          <w:tcPr>
            <w:tcW w:w="936" w:type="dxa"/>
            <w:gridSpan w:val="2"/>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right"/>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40</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45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Praktični dio  </w:t>
            </w:r>
            <w:r w:rsidRPr="00713C92">
              <w:rPr>
                <w:rFonts w:ascii="Minion Pro" w:eastAsia="Times New Roman" w:hAnsi="Minion Pro" w:cs="Times New Roman"/>
                <w:i/>
                <w:iCs/>
                <w:sz w:val="24"/>
                <w:szCs w:val="24"/>
                <w:bdr w:val="none" w:sz="0" w:space="0" w:color="auto" w:frame="1"/>
                <w:lang w:eastAsia="hr-HR"/>
              </w:rPr>
              <w:t>( izračun satnice po načelu  maksimalno 10 polaznika po instruktoru )</w:t>
            </w:r>
          </w:p>
        </w:tc>
        <w:tc>
          <w:tcPr>
            <w:tcW w:w="936" w:type="dxa"/>
            <w:gridSpan w:val="2"/>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right"/>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30</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 </w:t>
            </w:r>
          </w:p>
        </w:tc>
      </w:tr>
      <w:tr w:rsidR="00713C92" w:rsidRPr="00713C92" w:rsidTr="00713C92">
        <w:trPr>
          <w:trHeight w:val="45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Ukupno</w:t>
            </w:r>
          </w:p>
        </w:tc>
        <w:tc>
          <w:tcPr>
            <w:tcW w:w="936" w:type="dxa"/>
            <w:gridSpan w:val="2"/>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right"/>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70</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6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r w:rsidRPr="00713C92">
              <w:rPr>
                <w:rFonts w:ascii="Times New Roman" w:eastAsia="Times New Roman" w:hAnsi="Times New Roman" w:cs="Times New Roman"/>
                <w:sz w:val="24"/>
                <w:szCs w:val="24"/>
                <w:lang w:eastAsia="hr-HR"/>
              </w:rPr>
              <w:t>Tijekom i po završetku edukacije polaznik pristupa pismenoj i praktičnoj provjeri znanja.</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6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lastRenderedPageBreak/>
              <w:t> </w:t>
            </w:r>
          </w:p>
        </w:tc>
        <w:tc>
          <w:tcPr>
            <w:tcW w:w="12251" w:type="dxa"/>
            <w:tcBorders>
              <w:top w:val="nil"/>
              <w:left w:val="nil"/>
              <w:bottom w:val="single" w:sz="4" w:space="0" w:color="auto"/>
              <w:right w:val="nil"/>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r w:rsidRPr="00713C92">
              <w:rPr>
                <w:rFonts w:ascii="Times New Roman" w:eastAsia="Times New Roman" w:hAnsi="Times New Roman" w:cs="Times New Roman"/>
                <w:sz w:val="24"/>
                <w:szCs w:val="24"/>
                <w:lang w:eastAsia="hr-HR"/>
              </w:rPr>
              <w:t>Pismenu provjeru znanja polaznik mora zadovoljiti s najmanje 80 % uspješnosti.</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75"/>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vMerge w:val="restart"/>
            <w:tcBorders>
              <w:top w:val="nil"/>
              <w:left w:val="nil"/>
              <w:bottom w:val="single" w:sz="4" w:space="0" w:color="auto"/>
              <w:right w:val="nil"/>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r w:rsidRPr="00713C92">
              <w:rPr>
                <w:rFonts w:ascii="Times New Roman" w:eastAsia="Times New Roman" w:hAnsi="Times New Roman" w:cs="Times New Roman"/>
                <w:sz w:val="24"/>
                <w:szCs w:val="24"/>
                <w:lang w:eastAsia="hr-HR"/>
              </w:rPr>
              <w:t>Praktični dio provjere znanja polaznik polaže pred edukacijskim timom koji ocjenjuje uspješnost.</w:t>
            </w:r>
            <w:r w:rsidRPr="00713C92">
              <w:rPr>
                <w:rFonts w:ascii="Minion Pro" w:eastAsia="Times New Roman" w:hAnsi="Minion Pro" w:cs="Times New Roman"/>
                <w:sz w:val="24"/>
                <w:szCs w:val="24"/>
                <w:bdr w:val="none" w:sz="0" w:space="0" w:color="auto" w:frame="1"/>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401"/>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0" w:type="auto"/>
            <w:vMerge/>
            <w:tcBorders>
              <w:top w:val="nil"/>
              <w:left w:val="nil"/>
              <w:bottom w:val="single" w:sz="4" w:space="0" w:color="auto"/>
              <w:right w:val="nil"/>
            </w:tcBorders>
            <w:vAlign w:val="bottom"/>
            <w:hideMark/>
          </w:tcPr>
          <w:p w:rsidR="00713C92" w:rsidRPr="00713C92" w:rsidRDefault="00713C92" w:rsidP="00713C92">
            <w:pPr>
              <w:spacing w:after="0" w:line="240" w:lineRule="auto"/>
              <w:rPr>
                <w:rFonts w:ascii="Times New Roman" w:eastAsia="Times New Roman" w:hAnsi="Times New Roman" w:cs="Times New Roman"/>
                <w:sz w:val="24"/>
                <w:szCs w:val="24"/>
                <w:lang w:eastAsia="hr-HR"/>
              </w:rPr>
            </w:pP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bl>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ind w:left="708"/>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NAPOMENA: Liječnik je dužan prije početka samostalnog rada u izvanbolničkoj hitnoj medicinskoj pomoći završiti dio osnovne</w:t>
      </w:r>
    </w:p>
    <w:p w:rsidR="00713C92" w:rsidRPr="00713C92" w:rsidRDefault="00713C92" w:rsidP="00713C92">
      <w:pPr>
        <w:spacing w:after="0" w:line="240" w:lineRule="auto"/>
        <w:ind w:left="2124"/>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edukacije pod rednim brojem 2.</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Preostali dio osnovne edukacije za rad u hitnoj medicinskoj pomoći</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liječnik</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je dužan završiti najkasnije u roku od</w:t>
      </w:r>
    </w:p>
    <w:p w:rsidR="00713C92" w:rsidRPr="00713C92" w:rsidRDefault="00713C92" w:rsidP="00713C92">
      <w:pPr>
        <w:spacing w:after="0" w:line="240" w:lineRule="auto"/>
        <w:ind w:left="1416" w:firstLine="708"/>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6 mjeseci od početka rada.</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T= sati teorijske nastave; P= sati praktične nastave; UK= ukupno sati</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ind w:firstLine="720"/>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Prilog 2.</w:t>
      </w:r>
    </w:p>
    <w:p w:rsidR="00713C92" w:rsidRPr="00713C92" w:rsidRDefault="00713C92" w:rsidP="00713C92">
      <w:pPr>
        <w:spacing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tbl>
      <w:tblPr>
        <w:tblW w:w="0" w:type="auto"/>
        <w:tblInd w:w="88" w:type="dxa"/>
        <w:tblCellMar>
          <w:left w:w="0" w:type="dxa"/>
          <w:right w:w="0" w:type="dxa"/>
        </w:tblCellMar>
        <w:tblLook w:val="04A0" w:firstRow="1" w:lastRow="0" w:firstColumn="1" w:lastColumn="0" w:noHBand="0" w:noVBand="1"/>
      </w:tblPr>
      <w:tblGrid>
        <w:gridCol w:w="441"/>
        <w:gridCol w:w="7250"/>
        <w:gridCol w:w="363"/>
        <w:gridCol w:w="311"/>
        <w:gridCol w:w="142"/>
        <w:gridCol w:w="467"/>
      </w:tblGrid>
      <w:tr w:rsidR="00713C92" w:rsidRPr="00713C92" w:rsidTr="00713C92">
        <w:trPr>
          <w:trHeight w:val="450"/>
        </w:trPr>
        <w:tc>
          <w:tcPr>
            <w:tcW w:w="14427" w:type="dxa"/>
            <w:gridSpan w:val="6"/>
            <w:tcBorders>
              <w:top w:val="single" w:sz="4" w:space="0" w:color="auto"/>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lang w:eastAsia="hr-HR"/>
              </w:rPr>
              <w:t>PLAN I PROGRAM</w:t>
            </w:r>
            <w:r w:rsidRPr="00713C92">
              <w:rPr>
                <w:rFonts w:ascii="Minion Pro" w:eastAsia="Times New Roman" w:hAnsi="Minion Pro" w:cs="Times New Roman"/>
                <w:b/>
                <w:bCs/>
                <w:sz w:val="24"/>
                <w:szCs w:val="24"/>
                <w:bdr w:val="none" w:sz="0" w:space="0" w:color="auto" w:frame="1"/>
                <w:lang w:eastAsia="hr-HR"/>
              </w:rPr>
              <w:t>  </w:t>
            </w:r>
            <w:r w:rsidRPr="00713C92">
              <w:rPr>
                <w:rFonts w:ascii="Minion Pro" w:eastAsia="Times New Roman" w:hAnsi="Minion Pro" w:cs="Times New Roman"/>
                <w:b/>
                <w:bCs/>
                <w:sz w:val="24"/>
                <w:szCs w:val="24"/>
                <w:lang w:eastAsia="hr-HR"/>
              </w:rPr>
              <w:t>KONTINUIRANE EDUKACIJE LIJEČNIKA</w:t>
            </w:r>
          </w:p>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lang w:eastAsia="hr-HR"/>
              </w:rPr>
              <w:t>ZA RAD U IZVANBOLNIČKOJ HITNOJ MEDICINSKOJ POMOĆI</w:t>
            </w:r>
          </w:p>
        </w:tc>
      </w:tr>
      <w:tr w:rsidR="00713C92" w:rsidRPr="00713C92" w:rsidTr="00713C92">
        <w:trPr>
          <w:trHeight w:val="300"/>
        </w:trPr>
        <w:tc>
          <w:tcPr>
            <w:tcW w:w="60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Br.</w:t>
            </w:r>
          </w:p>
        </w:tc>
        <w:tc>
          <w:tcPr>
            <w:tcW w:w="12251"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T</w:t>
            </w:r>
          </w:p>
        </w:tc>
        <w:tc>
          <w:tcPr>
            <w:tcW w:w="468" w:type="dxa"/>
            <w:gridSpan w:val="2"/>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P</w:t>
            </w:r>
          </w:p>
        </w:tc>
        <w:tc>
          <w:tcPr>
            <w:tcW w:w="638"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UK</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Mjere zaštite od infektivnih bolesti i upotreba zaštitne opreme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gridSpan w:val="2"/>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Primarni i sekundarni pregled bolesne i ozlijeđene osobe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gridSpan w:val="2"/>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14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3.</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Trijaža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gridSpan w:val="2"/>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4.</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Temeljni postupci održavanja života odraslih prema smjernicama ERC-a (BLS)</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gridSpan w:val="2"/>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5.</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Dodatni postupci održavanja života odraslih prema smjernicama ERC-a (ALS)</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gridSpan w:val="2"/>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3</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4</w:t>
            </w:r>
          </w:p>
        </w:tc>
      </w:tr>
      <w:tr w:rsidR="00713C92" w:rsidRPr="00713C92" w:rsidTr="00713C92">
        <w:trPr>
          <w:trHeight w:val="300"/>
        </w:trPr>
        <w:tc>
          <w:tcPr>
            <w:tcW w:w="60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6.</w:t>
            </w:r>
          </w:p>
        </w:tc>
        <w:tc>
          <w:tcPr>
            <w:tcW w:w="12251"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Temeljni i dodatni  postupci oživljavanja djece</w:t>
            </w:r>
          </w:p>
        </w:tc>
        <w:tc>
          <w:tcPr>
            <w:tcW w:w="468"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gridSpan w:val="2"/>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7.</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Šok –osnovna klinička diferencijalna dijagnoza šoka i liječenje</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gridSpan w:val="2"/>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8.</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Ozljede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gridSpan w:val="2"/>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zbrinjavanje ventilnog pneumotoraksa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gridSpan w:val="2"/>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 imobilizacija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gridSpan w:val="2"/>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Postupak s amputiranim dijelom tijela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gridSpan w:val="2"/>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Postupak kod opeklina i smrzotina</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Postupak kod kemijske ozljede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gridSpan w:val="2"/>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9. </w:t>
            </w:r>
          </w:p>
        </w:tc>
        <w:tc>
          <w:tcPr>
            <w:tcW w:w="12251"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88" w:lineRule="atLeast"/>
              <w:textAlignment w:val="baseline"/>
              <w:outlineLvl w:val="1"/>
              <w:rPr>
                <w:rFonts w:ascii="Minion Pro" w:eastAsia="Times New Roman" w:hAnsi="Minion Pro" w:cs="Times New Roman"/>
                <w:b/>
                <w:bCs/>
                <w:sz w:val="36"/>
                <w:szCs w:val="36"/>
                <w:lang w:eastAsia="hr-HR"/>
              </w:rPr>
            </w:pPr>
            <w:r w:rsidRPr="00713C92">
              <w:rPr>
                <w:rFonts w:ascii="Minion Pro" w:eastAsia="Times New Roman" w:hAnsi="Minion Pro" w:cs="Times New Roman"/>
                <w:b/>
                <w:bCs/>
                <w:sz w:val="24"/>
                <w:szCs w:val="24"/>
                <w:bdr w:val="none" w:sz="0" w:space="0" w:color="auto" w:frame="1"/>
                <w:lang w:val="en-GB" w:eastAsia="hr-HR"/>
              </w:rPr>
              <w:t>Tehnike izvla</w:t>
            </w:r>
            <w:r w:rsidRPr="00713C92">
              <w:rPr>
                <w:rFonts w:ascii="Minion Pro" w:eastAsia="Times New Roman" w:hAnsi="Minion Pro" w:cs="Times New Roman"/>
                <w:b/>
                <w:bCs/>
                <w:sz w:val="24"/>
                <w:szCs w:val="24"/>
                <w:bdr w:val="none" w:sz="0" w:space="0" w:color="auto" w:frame="1"/>
                <w:lang w:eastAsia="hr-HR"/>
              </w:rPr>
              <w:t>č</w:t>
            </w:r>
            <w:r w:rsidRPr="00713C92">
              <w:rPr>
                <w:rFonts w:ascii="Minion Pro" w:eastAsia="Times New Roman" w:hAnsi="Minion Pro" w:cs="Times New Roman"/>
                <w:b/>
                <w:bCs/>
                <w:sz w:val="24"/>
                <w:szCs w:val="24"/>
                <w:bdr w:val="none" w:sz="0" w:space="0" w:color="auto" w:frame="1"/>
                <w:lang w:val="en-GB" w:eastAsia="hr-HR"/>
              </w:rPr>
              <w:t>enja</w:t>
            </w:r>
          </w:p>
        </w:tc>
        <w:tc>
          <w:tcPr>
            <w:tcW w:w="468"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gridSpan w:val="2"/>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10.</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Skidanje kacige ozlijeđenog</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gridSpan w:val="2"/>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11.</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Najčešća hitna stanja- novosti</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3</w:t>
            </w:r>
          </w:p>
        </w:tc>
        <w:tc>
          <w:tcPr>
            <w:tcW w:w="468" w:type="dxa"/>
            <w:gridSpan w:val="2"/>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12.</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Lijekovi u izvanbolničkim uvjetima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gridSpan w:val="2"/>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13.</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Načini transporta </w:t>
            </w:r>
            <w:r w:rsidRPr="00713C92">
              <w:rPr>
                <w:rFonts w:ascii="Minion Pro" w:eastAsia="Times New Roman" w:hAnsi="Minion Pro" w:cs="Times New Roman"/>
                <w:sz w:val="24"/>
                <w:szCs w:val="24"/>
                <w:bdr w:val="none" w:sz="0" w:space="0" w:color="auto" w:frame="1"/>
                <w:lang w:eastAsia="hr-HR"/>
              </w:rPr>
              <w:t>(nosilima, kardijalnom stolicom, platnenim nosilima, prenošenje i manevriranje nepokretnog pacijenta)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gridSpan w:val="2"/>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14.</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Transportni položaji</w:t>
            </w:r>
            <w:r w:rsidRPr="00713C92">
              <w:rPr>
                <w:rFonts w:ascii="Minion Pro" w:eastAsia="Times New Roman" w:hAnsi="Minion Pro" w:cs="Times New Roman"/>
                <w:sz w:val="24"/>
                <w:szCs w:val="24"/>
                <w:bdr w:val="none" w:sz="0" w:space="0" w:color="auto" w:frame="1"/>
                <w:lang w:eastAsia="hr-HR"/>
              </w:rPr>
              <w:t> (indikacija i postupak postavljanja)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gridSpan w:val="2"/>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lastRenderedPageBreak/>
              <w:t>15.</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Nadzor bolesne i ozlijeđene osobe tijekom transporta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gridSpan w:val="2"/>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16.</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Masovne nesreće i kemijske katastrofe</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gridSpan w:val="2"/>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17.</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Komunikacijske vještine u hitnim situacija </w:t>
            </w:r>
            <w:r w:rsidRPr="00713C92">
              <w:rPr>
                <w:rFonts w:ascii="Minion Pro" w:eastAsia="Times New Roman" w:hAnsi="Minion Pro" w:cs="Times New Roman"/>
                <w:sz w:val="24"/>
                <w:szCs w:val="24"/>
                <w:bdr w:val="none" w:sz="0" w:space="0" w:color="auto" w:frame="1"/>
                <w:lang w:eastAsia="hr-HR"/>
              </w:rPr>
              <w:t>( rješavanje konflikta, agresivni pacijent, psihološka potpora pacijentu i obitelji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gridSpan w:val="2"/>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15"/>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gridSpan w:val="2"/>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480"/>
        </w:trPr>
        <w:tc>
          <w:tcPr>
            <w:tcW w:w="602"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15</w:t>
            </w:r>
          </w:p>
        </w:tc>
        <w:tc>
          <w:tcPr>
            <w:tcW w:w="468" w:type="dxa"/>
            <w:gridSpan w:val="2"/>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15</w:t>
            </w:r>
          </w:p>
        </w:tc>
        <w:tc>
          <w:tcPr>
            <w:tcW w:w="63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lang w:eastAsia="hr-HR"/>
              </w:rPr>
              <w:t>30</w:t>
            </w:r>
          </w:p>
        </w:tc>
      </w:tr>
      <w:tr w:rsidR="00713C92" w:rsidRPr="00713C92" w:rsidTr="00713C92">
        <w:trPr>
          <w:trHeight w:val="45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88" w:lineRule="atLeast"/>
              <w:textAlignment w:val="baseline"/>
              <w:outlineLvl w:val="1"/>
              <w:rPr>
                <w:rFonts w:ascii="Minion Pro" w:eastAsia="Times New Roman" w:hAnsi="Minion Pro" w:cs="Times New Roman"/>
                <w:b/>
                <w:bCs/>
                <w:sz w:val="36"/>
                <w:szCs w:val="36"/>
                <w:lang w:eastAsia="hr-HR"/>
              </w:rPr>
            </w:pPr>
            <w:r w:rsidRPr="00713C92">
              <w:rPr>
                <w:rFonts w:ascii="Minion Pro" w:eastAsia="Times New Roman" w:hAnsi="Minion Pro" w:cs="Times New Roman"/>
                <w:b/>
                <w:bCs/>
                <w:sz w:val="24"/>
                <w:szCs w:val="24"/>
                <w:bdr w:val="none" w:sz="0" w:space="0" w:color="auto" w:frame="1"/>
                <w:lang w:val="en-GB" w:eastAsia="hr-HR"/>
              </w:rPr>
              <w:t>Teorijski dio</w:t>
            </w:r>
          </w:p>
        </w:tc>
        <w:tc>
          <w:tcPr>
            <w:tcW w:w="847" w:type="dxa"/>
            <w:gridSpan w:val="2"/>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right"/>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   15</w:t>
            </w:r>
          </w:p>
        </w:tc>
        <w:tc>
          <w:tcPr>
            <w:tcW w:w="727" w:type="dxa"/>
            <w:gridSpan w:val="2"/>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45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Praktični dio  </w:t>
            </w:r>
            <w:r w:rsidRPr="00713C92">
              <w:rPr>
                <w:rFonts w:ascii="Minion Pro" w:eastAsia="Times New Roman" w:hAnsi="Minion Pro" w:cs="Times New Roman"/>
                <w:i/>
                <w:iCs/>
                <w:sz w:val="24"/>
                <w:szCs w:val="24"/>
                <w:bdr w:val="none" w:sz="0" w:space="0" w:color="auto" w:frame="1"/>
                <w:lang w:eastAsia="hr-HR"/>
              </w:rPr>
              <w:t>( izračun satnice po načelu  maksimalno 10 polaznika po instruktoru )</w:t>
            </w:r>
          </w:p>
        </w:tc>
        <w:tc>
          <w:tcPr>
            <w:tcW w:w="847" w:type="dxa"/>
            <w:gridSpan w:val="2"/>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right"/>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15</w:t>
            </w:r>
          </w:p>
        </w:tc>
        <w:tc>
          <w:tcPr>
            <w:tcW w:w="727" w:type="dxa"/>
            <w:gridSpan w:val="2"/>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 </w:t>
            </w:r>
          </w:p>
        </w:tc>
      </w:tr>
      <w:tr w:rsidR="00713C92" w:rsidRPr="00713C92" w:rsidTr="00713C92">
        <w:trPr>
          <w:trHeight w:val="45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Ukupno</w:t>
            </w:r>
          </w:p>
        </w:tc>
        <w:tc>
          <w:tcPr>
            <w:tcW w:w="847" w:type="dxa"/>
            <w:gridSpan w:val="2"/>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right"/>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30</w:t>
            </w:r>
          </w:p>
        </w:tc>
        <w:tc>
          <w:tcPr>
            <w:tcW w:w="727" w:type="dxa"/>
            <w:gridSpan w:val="2"/>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379"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727" w:type="dxa"/>
            <w:gridSpan w:val="2"/>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6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3825" w:type="dxa"/>
            <w:gridSpan w:val="5"/>
            <w:tcBorders>
              <w:top w:val="nil"/>
              <w:left w:val="nil"/>
              <w:bottom w:val="nil"/>
              <w:right w:val="nil"/>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Kontinuirana edukacija provodi se jednom u 3 godine, u trajanju od 30 sati, u omjeru 15 sati teorije i 15 sati praktične nastave.</w:t>
            </w:r>
          </w:p>
        </w:tc>
      </w:tr>
      <w:tr w:rsidR="00713C92" w:rsidRPr="00713C92" w:rsidTr="00713C92">
        <w:trPr>
          <w:trHeight w:val="36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3825" w:type="dxa"/>
            <w:gridSpan w:val="5"/>
            <w:tcBorders>
              <w:top w:val="nil"/>
              <w:left w:val="nil"/>
              <w:bottom w:val="nil"/>
              <w:right w:val="nil"/>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Kontinuirana edukacija, u smislu opreme, prostora i edukatora provodi se po istim načelima kao i osnovna edukacija.</w:t>
            </w:r>
          </w:p>
        </w:tc>
      </w:tr>
      <w:tr w:rsidR="00713C92" w:rsidRPr="00713C92" w:rsidTr="00713C92">
        <w:trPr>
          <w:trHeight w:val="375"/>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3825" w:type="dxa"/>
            <w:gridSpan w:val="5"/>
            <w:vMerge w:val="restart"/>
            <w:tcBorders>
              <w:top w:val="nil"/>
              <w:left w:val="nil"/>
              <w:bottom w:val="nil"/>
              <w:right w:val="nil"/>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Nakon položene kontinuirane edukacije, polaznici dobivaju potvrdu o uspješno završenoj edukaciji.</w:t>
            </w:r>
          </w:p>
        </w:tc>
      </w:tr>
      <w:tr w:rsidR="00713C92" w:rsidRPr="00713C92" w:rsidTr="00713C92">
        <w:trPr>
          <w:trHeight w:val="401"/>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0" w:type="auto"/>
            <w:gridSpan w:val="5"/>
            <w:vMerge/>
            <w:tcBorders>
              <w:top w:val="nil"/>
              <w:left w:val="nil"/>
              <w:bottom w:val="nil"/>
              <w:right w:val="nil"/>
            </w:tcBorders>
            <w:vAlign w:val="center"/>
            <w:hideMark/>
          </w:tcPr>
          <w:p w:rsidR="00713C92" w:rsidRPr="00713C92" w:rsidRDefault="00713C92" w:rsidP="00713C92">
            <w:pPr>
              <w:spacing w:after="0" w:line="240" w:lineRule="auto"/>
              <w:rPr>
                <w:rFonts w:ascii="Times New Roman" w:eastAsia="Times New Roman" w:hAnsi="Times New Roman" w:cs="Times New Roman"/>
                <w:sz w:val="24"/>
                <w:szCs w:val="24"/>
                <w:lang w:eastAsia="hr-HR"/>
              </w:rPr>
            </w:pPr>
          </w:p>
        </w:tc>
      </w:tr>
      <w:tr w:rsidR="00713C92" w:rsidRPr="00713C92" w:rsidTr="00713C92">
        <w:tc>
          <w:tcPr>
            <w:tcW w:w="600" w:type="dxa"/>
            <w:tcBorders>
              <w:top w:val="nil"/>
              <w:left w:val="nil"/>
              <w:bottom w:val="nil"/>
              <w:right w:val="nil"/>
            </w:tcBorders>
            <w:vAlign w:val="center"/>
            <w:hideMark/>
          </w:tcPr>
          <w:p w:rsidR="00713C92" w:rsidRPr="00713C92" w:rsidRDefault="00713C92" w:rsidP="00713C92">
            <w:pPr>
              <w:spacing w:after="0" w:line="240" w:lineRule="auto"/>
              <w:rPr>
                <w:rFonts w:ascii="Times New Roman" w:eastAsia="Times New Roman" w:hAnsi="Times New Roman" w:cs="Times New Roman"/>
                <w:sz w:val="24"/>
                <w:szCs w:val="24"/>
                <w:lang w:eastAsia="hr-HR"/>
              </w:rPr>
            </w:pPr>
          </w:p>
        </w:tc>
        <w:tc>
          <w:tcPr>
            <w:tcW w:w="12255" w:type="dxa"/>
            <w:tcBorders>
              <w:top w:val="nil"/>
              <w:left w:val="nil"/>
              <w:bottom w:val="nil"/>
              <w:right w:val="nil"/>
            </w:tcBorders>
            <w:vAlign w:val="center"/>
            <w:hideMark/>
          </w:tcPr>
          <w:p w:rsidR="00713C92" w:rsidRPr="00713C92" w:rsidRDefault="00713C92" w:rsidP="00713C92">
            <w:pPr>
              <w:spacing w:after="0" w:line="240" w:lineRule="auto"/>
              <w:rPr>
                <w:rFonts w:ascii="Times New Roman" w:eastAsia="Times New Roman" w:hAnsi="Times New Roman" w:cs="Times New Roman"/>
                <w:sz w:val="20"/>
                <w:szCs w:val="20"/>
                <w:lang w:eastAsia="hr-HR"/>
              </w:rPr>
            </w:pPr>
          </w:p>
        </w:tc>
        <w:tc>
          <w:tcPr>
            <w:tcW w:w="465" w:type="dxa"/>
            <w:tcBorders>
              <w:top w:val="nil"/>
              <w:left w:val="nil"/>
              <w:bottom w:val="nil"/>
              <w:right w:val="nil"/>
            </w:tcBorders>
            <w:vAlign w:val="center"/>
            <w:hideMark/>
          </w:tcPr>
          <w:p w:rsidR="00713C92" w:rsidRPr="00713C92" w:rsidRDefault="00713C92" w:rsidP="00713C92">
            <w:pPr>
              <w:spacing w:after="0" w:line="240" w:lineRule="auto"/>
              <w:rPr>
                <w:rFonts w:ascii="Times New Roman" w:eastAsia="Times New Roman" w:hAnsi="Times New Roman" w:cs="Times New Roman"/>
                <w:sz w:val="20"/>
                <w:szCs w:val="20"/>
                <w:lang w:eastAsia="hr-HR"/>
              </w:rPr>
            </w:pPr>
          </w:p>
        </w:tc>
        <w:tc>
          <w:tcPr>
            <w:tcW w:w="375" w:type="dxa"/>
            <w:tcBorders>
              <w:top w:val="nil"/>
              <w:left w:val="nil"/>
              <w:bottom w:val="nil"/>
              <w:right w:val="nil"/>
            </w:tcBorders>
            <w:vAlign w:val="center"/>
            <w:hideMark/>
          </w:tcPr>
          <w:p w:rsidR="00713C92" w:rsidRPr="00713C92" w:rsidRDefault="00713C92" w:rsidP="00713C92">
            <w:pPr>
              <w:spacing w:after="0" w:line="240" w:lineRule="auto"/>
              <w:rPr>
                <w:rFonts w:ascii="Times New Roman" w:eastAsia="Times New Roman" w:hAnsi="Times New Roman" w:cs="Times New Roman"/>
                <w:sz w:val="20"/>
                <w:szCs w:val="20"/>
                <w:lang w:eastAsia="hr-HR"/>
              </w:rPr>
            </w:pPr>
          </w:p>
        </w:tc>
        <w:tc>
          <w:tcPr>
            <w:tcW w:w="90" w:type="dxa"/>
            <w:tcBorders>
              <w:top w:val="nil"/>
              <w:left w:val="nil"/>
              <w:bottom w:val="nil"/>
              <w:right w:val="nil"/>
            </w:tcBorders>
            <w:vAlign w:val="center"/>
            <w:hideMark/>
          </w:tcPr>
          <w:p w:rsidR="00713C92" w:rsidRPr="00713C92" w:rsidRDefault="00713C92" w:rsidP="00713C92">
            <w:pPr>
              <w:spacing w:after="0" w:line="240" w:lineRule="auto"/>
              <w:rPr>
                <w:rFonts w:ascii="Times New Roman" w:eastAsia="Times New Roman" w:hAnsi="Times New Roman" w:cs="Times New Roman"/>
                <w:sz w:val="20"/>
                <w:szCs w:val="20"/>
                <w:lang w:eastAsia="hr-HR"/>
              </w:rPr>
            </w:pPr>
          </w:p>
        </w:tc>
        <w:tc>
          <w:tcPr>
            <w:tcW w:w="645" w:type="dxa"/>
            <w:tcBorders>
              <w:top w:val="nil"/>
              <w:left w:val="nil"/>
              <w:bottom w:val="nil"/>
              <w:right w:val="nil"/>
            </w:tcBorders>
            <w:vAlign w:val="center"/>
            <w:hideMark/>
          </w:tcPr>
          <w:p w:rsidR="00713C92" w:rsidRPr="00713C92" w:rsidRDefault="00713C92" w:rsidP="00713C92">
            <w:pPr>
              <w:spacing w:after="0" w:line="240" w:lineRule="auto"/>
              <w:rPr>
                <w:rFonts w:ascii="Times New Roman" w:eastAsia="Times New Roman" w:hAnsi="Times New Roman" w:cs="Times New Roman"/>
                <w:sz w:val="20"/>
                <w:szCs w:val="20"/>
                <w:lang w:eastAsia="hr-HR"/>
              </w:rPr>
            </w:pPr>
          </w:p>
        </w:tc>
      </w:tr>
    </w:tbl>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T= sati teorijske nastave; P= sati praktične nastave; UK= ukupno sati</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ind w:firstLine="720"/>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Prilog 3.</w:t>
      </w:r>
    </w:p>
    <w:p w:rsidR="00713C92" w:rsidRPr="00713C92" w:rsidRDefault="00713C92" w:rsidP="00713C92">
      <w:pPr>
        <w:spacing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tbl>
      <w:tblPr>
        <w:tblW w:w="14427" w:type="dxa"/>
        <w:tblInd w:w="288" w:type="dxa"/>
        <w:tblCellMar>
          <w:left w:w="0" w:type="dxa"/>
          <w:right w:w="0" w:type="dxa"/>
        </w:tblCellMar>
        <w:tblLook w:val="04A0" w:firstRow="1" w:lastRow="0" w:firstColumn="1" w:lastColumn="0" w:noHBand="0" w:noVBand="1"/>
      </w:tblPr>
      <w:tblGrid>
        <w:gridCol w:w="602"/>
        <w:gridCol w:w="12251"/>
        <w:gridCol w:w="468"/>
        <w:gridCol w:w="468"/>
        <w:gridCol w:w="638"/>
      </w:tblGrid>
      <w:tr w:rsidR="00713C92" w:rsidRPr="00713C92" w:rsidTr="00713C92">
        <w:trPr>
          <w:trHeight w:val="450"/>
        </w:trPr>
        <w:tc>
          <w:tcPr>
            <w:tcW w:w="14427" w:type="dxa"/>
            <w:gridSpan w:val="5"/>
            <w:tcBorders>
              <w:top w:val="single" w:sz="4" w:space="0" w:color="auto"/>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lang w:eastAsia="hr-HR"/>
              </w:rPr>
              <w:t>PLAN I PROGRAM</w:t>
            </w:r>
            <w:r w:rsidRPr="00713C92">
              <w:rPr>
                <w:rFonts w:ascii="Minion Pro" w:eastAsia="Times New Roman" w:hAnsi="Minion Pro" w:cs="Times New Roman"/>
                <w:b/>
                <w:bCs/>
                <w:sz w:val="24"/>
                <w:szCs w:val="24"/>
                <w:bdr w:val="none" w:sz="0" w:space="0" w:color="auto" w:frame="1"/>
                <w:lang w:eastAsia="hr-HR"/>
              </w:rPr>
              <w:t>  </w:t>
            </w:r>
            <w:r w:rsidRPr="00713C92">
              <w:rPr>
                <w:rFonts w:ascii="Minion Pro" w:eastAsia="Times New Roman" w:hAnsi="Minion Pro" w:cs="Times New Roman"/>
                <w:b/>
                <w:bCs/>
                <w:sz w:val="24"/>
                <w:szCs w:val="24"/>
                <w:lang w:eastAsia="hr-HR"/>
              </w:rPr>
              <w:t>OSNOVNE EDUKACIJE MEDICINSKIH SESTARA / MEDICINSKIH TEHNIČARA</w:t>
            </w:r>
          </w:p>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lang w:eastAsia="hr-HR"/>
              </w:rPr>
              <w:t>ZA RAD U IZVANBOLNIČKOJ HITNOJ MEDICINSKOJ POMOĆI</w:t>
            </w:r>
          </w:p>
        </w:tc>
      </w:tr>
      <w:tr w:rsidR="00713C92" w:rsidRPr="00713C92" w:rsidTr="00713C92">
        <w:trPr>
          <w:trHeight w:val="300"/>
        </w:trPr>
        <w:tc>
          <w:tcPr>
            <w:tcW w:w="60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Br.</w:t>
            </w:r>
          </w:p>
        </w:tc>
        <w:tc>
          <w:tcPr>
            <w:tcW w:w="12251"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T</w:t>
            </w:r>
          </w:p>
        </w:tc>
        <w:tc>
          <w:tcPr>
            <w:tcW w:w="468"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P</w:t>
            </w:r>
          </w:p>
        </w:tc>
        <w:tc>
          <w:tcPr>
            <w:tcW w:w="638"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UK</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88" w:lineRule="atLeast"/>
              <w:textAlignment w:val="baseline"/>
              <w:outlineLvl w:val="1"/>
              <w:rPr>
                <w:rFonts w:ascii="Minion Pro" w:eastAsia="Times New Roman" w:hAnsi="Minion Pro" w:cs="Times New Roman"/>
                <w:b/>
                <w:bCs/>
                <w:sz w:val="36"/>
                <w:szCs w:val="36"/>
                <w:lang w:eastAsia="hr-HR"/>
              </w:rPr>
            </w:pPr>
            <w:r w:rsidRPr="00713C92">
              <w:rPr>
                <w:rFonts w:ascii="Minion Pro" w:eastAsia="Times New Roman" w:hAnsi="Minion Pro" w:cs="Times New Roman"/>
                <w:b/>
                <w:bCs/>
                <w:sz w:val="24"/>
                <w:szCs w:val="24"/>
                <w:bdr w:val="none" w:sz="0" w:space="0" w:color="auto" w:frame="1"/>
                <w:lang w:val="en-GB" w:eastAsia="hr-HR"/>
              </w:rPr>
              <w:t>Uvod</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Organizacijski modeli službe HMP kod nas i u svijetu</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Vozila / oprema / djelatnici u HMP</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Poznavanje korištenja sustava veza na terenu, dispečerskom centru i osnove informatike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5</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7</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prijam i trijaža hitnog poziva te upućivanje tima na intervenciju ("dispatching")</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Mjere zaštite od infektivnih bolesti i upotreba zaštitne opreme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Primarni i sekundarni pregled bolesne i ozlijeđene osobe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4 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5</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   </w:t>
            </w:r>
            <w:r w:rsidRPr="00713C92">
              <w:rPr>
                <w:rFonts w:ascii="Minion Pro" w:eastAsia="Times New Roman" w:hAnsi="Minion Pro" w:cs="Times New Roman"/>
                <w:sz w:val="24"/>
                <w:szCs w:val="24"/>
                <w:bdr w:val="none" w:sz="0" w:space="0" w:color="auto" w:frame="1"/>
                <w:lang w:eastAsia="hr-HR"/>
              </w:rPr>
              <w:t>ABCDE pristup</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mjerenje vitalnih funkcija (puls, disanje, RR, tjelesna temperatura)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3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korištenje pulsnog oksimetra i kapnometra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korištenje glukometra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Trijaža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Temeljni postupci održavanja života odraslih prema smjernicama ERC-a (BLS)</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4 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5 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Dodatni postupci održavanja života odraslih prema smjernicama ERC-a: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lastRenderedPageBreak/>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Tehnike otvaranja i održavanja prohodnosti dišnih putova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3</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4</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orofaringealni i nazofaringealni tubus (indikacije, određivanje veličine, tehnike postavljanja)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sukcioni aparat (korištenje, rastavljanje i čišćenje)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Sellickov postupak</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Primjena kisika (pomoću katetera i Ohio maske, poznavanje opreme)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Umjetno disanje metodom</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3</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4</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pomoću maske i samoširećeg balona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priprema opreme i asistencija prilikom endotrahealne intubacije (poznavanje opreme i postupka)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alternativne metode održavanja prohodnosti dišnih puteva (laringealna maska, kombinirani tubus, konikotomija)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Priprema transportnog respiratora i asistencija pri korištenju, po uputi liječnika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Snimanje EKG-a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Postavljanje trajnog nadzora srčane akcije (monitoring)</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prepoznavanje osnovnih poremećaja srčanog ritma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Priprema standardnog defibrilatora i asistencija kod defibrilacije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 korištenje automatskog vanjskog defibrilatora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Lijekovi kod oživljavanja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1 </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3.</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Temeljni postupci oživljavanja djece</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3</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4</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4.</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Načini primjene lijekova</w:t>
            </w:r>
            <w:r w:rsidRPr="00713C92">
              <w:rPr>
                <w:rFonts w:ascii="Minion Pro" w:eastAsia="Times New Roman" w:hAnsi="Minion Pro" w:cs="Times New Roman"/>
                <w:sz w:val="24"/>
                <w:szCs w:val="24"/>
                <w:bdr w:val="none" w:sz="0" w:space="0" w:color="auto" w:frame="1"/>
                <w:lang w:eastAsia="hr-HR"/>
              </w:rPr>
              <w:t> (priprema, razrijeđivanje)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4 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5</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inhalacije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subkutana primjena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intramuskularna primjena (dorsoglutealna, ventroglutealna, natkoljenična i nadlaktična regija; Z - tehnika)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Intraosalna primjena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uspostava perifernog venskog puta endovenoznom kanilom (određivanja mjesta punkcije, postupak, komplikacije)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endovenozna primjena (po uputi i nadzorom liječnika)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priprema i primjena infuzija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5.</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Uzimanje uzoraka krvi i urina za analizu</w:t>
            </w:r>
            <w:r w:rsidRPr="00713C92">
              <w:rPr>
                <w:rFonts w:ascii="Minion Pro" w:eastAsia="Times New Roman" w:hAnsi="Minion Pro" w:cs="Times New Roman"/>
                <w:sz w:val="24"/>
                <w:szCs w:val="24"/>
                <w:bdr w:val="none" w:sz="0" w:space="0" w:color="auto" w:frame="1"/>
                <w:lang w:eastAsia="hr-HR"/>
              </w:rPr>
              <w:t> (venepukcija - </w:t>
            </w:r>
            <w:r w:rsidRPr="00713C92">
              <w:rPr>
                <w:rFonts w:ascii="Minion Pro" w:eastAsia="Times New Roman" w:hAnsi="Minion Pro" w:cs="Times New Roman"/>
                <w:i/>
                <w:iCs/>
                <w:sz w:val="24"/>
                <w:szCs w:val="24"/>
                <w:bdr w:val="none" w:sz="0" w:space="0" w:color="auto" w:frame="1"/>
                <w:lang w:eastAsia="hr-HR"/>
              </w:rPr>
              <w:t>vacutainer system</w:t>
            </w:r>
            <w:r w:rsidRPr="00713C92">
              <w:rPr>
                <w:rFonts w:ascii="Minion Pro" w:eastAsia="Times New Roman" w:hAnsi="Minion Pro" w:cs="Times New Roman"/>
                <w:sz w:val="24"/>
                <w:szCs w:val="24"/>
                <w:bdr w:val="none" w:sz="0" w:space="0" w:color="auto" w:frame="1"/>
                <w:lang w:eastAsia="hr-HR"/>
              </w:rPr>
              <w:t>, primjena test traka za urin, uvođenje/asistencija urinarnog katetera)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6.</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Vrste krvarenja i metode zaustavljanja krvarenja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izravnim pritiskom na ranu</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digitalnom kompresijom (poznavanje i određivanje mjesta kompresije)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kompresivnim zavojem (postupak slaganja kompresivnog zavoja)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podvezivanjem ekstremiteta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7.</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Šok – patofiziologija, prepoznavanje i principi zbrinjavanja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8.</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Vrste ozljeda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    Politrauma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Ozljede glave (lubanje, mozga, lica, čeljusti, oka, uha)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Ozljede prsnog koša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priprema opreme za dekompresiju ventilnog pneumotoraksa (iglom, drenom)</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Ozljede trbuha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   Ozljede kralježnice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6</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7</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 imobilizacija: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Schantzov ovratnik</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vakum madrac</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rasklopna nosila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duga daska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lastRenderedPageBreak/>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prsluk za imobilizaciju i izvlačenje ( Extrication Device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Ozljede okrajina, zglobova i velikih krvnih žila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2</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9 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14 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    </w:t>
            </w:r>
            <w:r w:rsidRPr="00713C92">
              <w:rPr>
                <w:rFonts w:ascii="Minion Pro" w:eastAsia="Times New Roman" w:hAnsi="Minion Pro" w:cs="Times New Roman"/>
                <w:sz w:val="24"/>
                <w:szCs w:val="24"/>
                <w:bdr w:val="none" w:sz="0" w:space="0" w:color="auto" w:frame="1"/>
                <w:lang w:eastAsia="hr-HR"/>
              </w:rPr>
              <w:t>- imobilizacija: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Kramerove udlage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specijalne udlage ( vakuum, pneumatske i dr.)</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imobilizacija zdjelice i natkoljenice prslukom za imobilizaciju i izvlačenje ( Extrication Device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Gnječne i udarne ozljede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Postupak s amputiranim dijelom tijela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Postupak kod opeklina i smrzotina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bdr w:val="none" w:sz="0" w:space="0" w:color="auto" w:frame="1"/>
                <w:lang w:eastAsia="hr-HR"/>
              </w:rPr>
              <w:t>Zavojni materijal ( najčešći zavoji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9. 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Tehnike izvlačenja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10.</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Skidanje kacige ozlijeđenog</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11.</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Akcidentalna stanja ili stanja uzrokovana fizičkim činiocima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3</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4</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Poremećaji uzrokovani povišenom temperaturom okoliša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Poremećaji uzrokovani sniženom temperaturom okoliša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 Hiblerov omotač ( poznavanje i korištenje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Strujni udar i udar groma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Utapanje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Nezgode tijekom ronjenja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Visinska bolest</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Vješanje</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Akutni radijacijski sindrom</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12.</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Najčešća akutna stanja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13.</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Akutna otrovanja i postupci zbrinjavanja </w:t>
            </w:r>
            <w:r w:rsidRPr="00713C92">
              <w:rPr>
                <w:rFonts w:ascii="Minion Pro" w:eastAsia="Times New Roman" w:hAnsi="Minion Pro" w:cs="Times New Roman"/>
                <w:sz w:val="24"/>
                <w:szCs w:val="24"/>
                <w:bdr w:val="none" w:sz="0" w:space="0" w:color="auto" w:frame="1"/>
                <w:lang w:eastAsia="hr-HR"/>
              </w:rPr>
              <w:t>(uvođenje orogastrične sonde i postupak ispiranja želuca, uzimanje uzoraka za analize)</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14.</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Porođaj u izvanbolničkim uvjetima</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 </w:t>
            </w:r>
          </w:p>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asistencija pri porođaju</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postupak s novorođenčetom</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transport rodilje i novorođenčeta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 </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15.</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Načini transporta </w:t>
            </w:r>
            <w:r w:rsidRPr="00713C92">
              <w:rPr>
                <w:rFonts w:ascii="Minion Pro" w:eastAsia="Times New Roman" w:hAnsi="Minion Pro" w:cs="Times New Roman"/>
                <w:sz w:val="24"/>
                <w:szCs w:val="24"/>
                <w:bdr w:val="none" w:sz="0" w:space="0" w:color="auto" w:frame="1"/>
                <w:lang w:eastAsia="hr-HR"/>
              </w:rPr>
              <w:t>(nosilima, kardijalnom stolicom, platnenim nosilima, prenošenje i manevriranje nepokretnog pacijenta)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16.</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Transportni položaji</w:t>
            </w:r>
            <w:r w:rsidRPr="00713C92">
              <w:rPr>
                <w:rFonts w:ascii="Minion Pro" w:eastAsia="Times New Roman" w:hAnsi="Minion Pro" w:cs="Times New Roman"/>
                <w:sz w:val="24"/>
                <w:szCs w:val="24"/>
                <w:bdr w:val="none" w:sz="0" w:space="0" w:color="auto" w:frame="1"/>
                <w:lang w:eastAsia="hr-HR"/>
              </w:rPr>
              <w:t> (indikacija i postupak postavljanja)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17.</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Nadzor bolesne i ozlijeđene osobe tijekom transporta</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18.</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Masovne nesreće i kemijske katastrofe</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19.</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Komunikacijske vještine u hitnim situacija </w:t>
            </w:r>
            <w:r w:rsidRPr="00713C92">
              <w:rPr>
                <w:rFonts w:ascii="Minion Pro" w:eastAsia="Times New Roman" w:hAnsi="Minion Pro" w:cs="Times New Roman"/>
                <w:sz w:val="24"/>
                <w:szCs w:val="24"/>
                <w:bdr w:val="none" w:sz="0" w:space="0" w:color="auto" w:frame="1"/>
                <w:lang w:eastAsia="hr-HR"/>
              </w:rPr>
              <w:t>( rješavanje konflikta, agresivni pacijent, psihološka potpora pacijentu i obitelji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5</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5</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20.</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Dokumentacija  medicinske sestre - tehničara o izvršenoj intervenciji</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3</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4</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21.</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Održavanje vozila i opreme</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22.</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Prikazi slučajeva - scenariji</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3</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15"/>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480"/>
        </w:trPr>
        <w:tc>
          <w:tcPr>
            <w:tcW w:w="602"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46</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74</w:t>
            </w:r>
          </w:p>
        </w:tc>
        <w:tc>
          <w:tcPr>
            <w:tcW w:w="63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lang w:eastAsia="hr-HR"/>
              </w:rPr>
              <w:t>120</w:t>
            </w:r>
          </w:p>
        </w:tc>
      </w:tr>
      <w:tr w:rsidR="00713C92" w:rsidRPr="00713C92" w:rsidTr="00713C92">
        <w:trPr>
          <w:trHeight w:val="284"/>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45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88" w:lineRule="atLeast"/>
              <w:textAlignment w:val="baseline"/>
              <w:outlineLvl w:val="1"/>
              <w:rPr>
                <w:rFonts w:ascii="Minion Pro" w:eastAsia="Times New Roman" w:hAnsi="Minion Pro" w:cs="Times New Roman"/>
                <w:b/>
                <w:bCs/>
                <w:sz w:val="36"/>
                <w:szCs w:val="36"/>
                <w:lang w:eastAsia="hr-HR"/>
              </w:rPr>
            </w:pPr>
            <w:r w:rsidRPr="00713C92">
              <w:rPr>
                <w:rFonts w:ascii="Minion Pro" w:eastAsia="Times New Roman" w:hAnsi="Minion Pro" w:cs="Times New Roman"/>
                <w:b/>
                <w:bCs/>
                <w:sz w:val="24"/>
                <w:szCs w:val="24"/>
                <w:bdr w:val="none" w:sz="0" w:space="0" w:color="auto" w:frame="1"/>
                <w:lang w:val="en-GB" w:eastAsia="hr-HR"/>
              </w:rPr>
              <w:t>Teorijski dio</w:t>
            </w:r>
          </w:p>
        </w:tc>
        <w:tc>
          <w:tcPr>
            <w:tcW w:w="936" w:type="dxa"/>
            <w:gridSpan w:val="2"/>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right"/>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46</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45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Praktični dio  </w:t>
            </w:r>
            <w:r w:rsidRPr="00713C92">
              <w:rPr>
                <w:rFonts w:ascii="Minion Pro" w:eastAsia="Times New Roman" w:hAnsi="Minion Pro" w:cs="Times New Roman"/>
                <w:i/>
                <w:iCs/>
                <w:sz w:val="24"/>
                <w:szCs w:val="24"/>
                <w:bdr w:val="none" w:sz="0" w:space="0" w:color="auto" w:frame="1"/>
                <w:lang w:eastAsia="hr-HR"/>
              </w:rPr>
              <w:t>( izračun satnice po načelu maksimalno 10 polaznika po instruktoru )</w:t>
            </w:r>
          </w:p>
        </w:tc>
        <w:tc>
          <w:tcPr>
            <w:tcW w:w="936" w:type="dxa"/>
            <w:gridSpan w:val="2"/>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right"/>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74</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 </w:t>
            </w:r>
          </w:p>
        </w:tc>
      </w:tr>
      <w:tr w:rsidR="00713C92" w:rsidRPr="00713C92" w:rsidTr="00713C92">
        <w:trPr>
          <w:trHeight w:val="45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lastRenderedPageBreak/>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Ukupno</w:t>
            </w:r>
          </w:p>
        </w:tc>
        <w:tc>
          <w:tcPr>
            <w:tcW w:w="936" w:type="dxa"/>
            <w:gridSpan w:val="2"/>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right"/>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120</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6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r w:rsidRPr="00713C92">
              <w:rPr>
                <w:rFonts w:ascii="Times New Roman" w:eastAsia="Times New Roman" w:hAnsi="Times New Roman" w:cs="Times New Roman"/>
                <w:sz w:val="24"/>
                <w:szCs w:val="24"/>
                <w:lang w:eastAsia="hr-HR"/>
              </w:rPr>
              <w:t>Tijekom i po završetku edukacije polaznik pristupa pismenoj i praktičnoj provjeri znanja.</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6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r w:rsidRPr="00713C92">
              <w:rPr>
                <w:rFonts w:ascii="Times New Roman" w:eastAsia="Times New Roman" w:hAnsi="Times New Roman" w:cs="Times New Roman"/>
                <w:sz w:val="24"/>
                <w:szCs w:val="24"/>
                <w:lang w:eastAsia="hr-HR"/>
              </w:rPr>
              <w:t>Pismenu provjeru znanja polaznik mora zadovoljiti s najmanje 70% uspješnosti.</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75"/>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vMerge w:val="restart"/>
            <w:tcBorders>
              <w:top w:val="nil"/>
              <w:left w:val="nil"/>
              <w:bottom w:val="nil"/>
              <w:right w:val="nil"/>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r w:rsidRPr="00713C92">
              <w:rPr>
                <w:rFonts w:ascii="Times New Roman" w:eastAsia="Times New Roman" w:hAnsi="Times New Roman" w:cs="Times New Roman"/>
                <w:sz w:val="24"/>
                <w:szCs w:val="24"/>
                <w:lang w:eastAsia="hr-HR"/>
              </w:rPr>
              <w:t>Praktični dio provjere znanja polaznik polaže pred edukacijskim timom koji ocjenjuje uspješnost.</w:t>
            </w:r>
            <w:r w:rsidRPr="00713C92">
              <w:rPr>
                <w:rFonts w:ascii="Minion Pro" w:eastAsia="Times New Roman" w:hAnsi="Minion Pro" w:cs="Times New Roman"/>
                <w:sz w:val="24"/>
                <w:szCs w:val="24"/>
                <w:bdr w:val="none" w:sz="0" w:space="0" w:color="auto" w:frame="1"/>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T= sati teorijske nastave; P= sati praktične nastave; UK= ukupno sati</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401"/>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0" w:type="auto"/>
            <w:vMerge/>
            <w:tcBorders>
              <w:top w:val="nil"/>
              <w:left w:val="nil"/>
              <w:bottom w:val="nil"/>
              <w:right w:val="nil"/>
            </w:tcBorders>
            <w:vAlign w:val="bottom"/>
            <w:hideMark/>
          </w:tcPr>
          <w:p w:rsidR="00713C92" w:rsidRPr="00713C92" w:rsidRDefault="00713C92" w:rsidP="00713C92">
            <w:pPr>
              <w:spacing w:after="0" w:line="240" w:lineRule="auto"/>
              <w:rPr>
                <w:rFonts w:ascii="Times New Roman" w:eastAsia="Times New Roman" w:hAnsi="Times New Roman" w:cs="Times New Roman"/>
                <w:sz w:val="24"/>
                <w:szCs w:val="24"/>
                <w:lang w:eastAsia="hr-HR"/>
              </w:rPr>
            </w:pP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bl>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88" w:lineRule="atLeast"/>
        <w:textAlignment w:val="baseline"/>
        <w:outlineLvl w:val="1"/>
        <w:rPr>
          <w:rFonts w:ascii="Minion Pro" w:eastAsia="Times New Roman" w:hAnsi="Minion Pro" w:cs="Times New Roman"/>
          <w:b/>
          <w:bCs/>
          <w:color w:val="000000"/>
          <w:sz w:val="36"/>
          <w:szCs w:val="36"/>
          <w:lang w:eastAsia="hr-HR"/>
        </w:rPr>
      </w:pPr>
      <w:r w:rsidRPr="00713C92">
        <w:rPr>
          <w:rFonts w:ascii="Minion Pro" w:eastAsia="Times New Roman" w:hAnsi="Minion Pro" w:cs="Times New Roman"/>
          <w:b/>
          <w:bCs/>
          <w:color w:val="000000"/>
          <w:sz w:val="36"/>
          <w:szCs w:val="36"/>
          <w:bdr w:val="none" w:sz="0" w:space="0" w:color="auto" w:frame="1"/>
          <w:lang w:eastAsia="hr-HR"/>
        </w:rPr>
        <w:t>                </w:t>
      </w:r>
      <w:r w:rsidRPr="00713C92">
        <w:rPr>
          <w:rFonts w:ascii="Minion Pro" w:eastAsia="Times New Roman" w:hAnsi="Minion Pro" w:cs="Times New Roman"/>
          <w:b/>
          <w:bCs/>
          <w:color w:val="000000"/>
          <w:sz w:val="24"/>
          <w:szCs w:val="24"/>
          <w:bdr w:val="none" w:sz="0" w:space="0" w:color="auto" w:frame="1"/>
          <w:lang w:val="en-GB" w:eastAsia="hr-HR"/>
        </w:rPr>
        <w:t>Prilog</w:t>
      </w:r>
      <w:r w:rsidRPr="00713C92">
        <w:rPr>
          <w:rFonts w:ascii="Minion Pro" w:eastAsia="Times New Roman" w:hAnsi="Minion Pro" w:cs="Times New Roman"/>
          <w:b/>
          <w:bCs/>
          <w:color w:val="000000"/>
          <w:sz w:val="24"/>
          <w:szCs w:val="24"/>
          <w:bdr w:val="none" w:sz="0" w:space="0" w:color="auto" w:frame="1"/>
          <w:lang w:eastAsia="hr-HR"/>
        </w:rPr>
        <w:t> 4.</w:t>
      </w:r>
    </w:p>
    <w:p w:rsidR="00713C92" w:rsidRPr="00713C92" w:rsidRDefault="00713C92" w:rsidP="00713C92">
      <w:pPr>
        <w:spacing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tbl>
      <w:tblPr>
        <w:tblW w:w="0" w:type="auto"/>
        <w:tblInd w:w="720" w:type="dxa"/>
        <w:tblCellMar>
          <w:left w:w="0" w:type="dxa"/>
          <w:right w:w="0" w:type="dxa"/>
        </w:tblCellMar>
        <w:tblLook w:val="04A0" w:firstRow="1" w:lastRow="0" w:firstColumn="1" w:lastColumn="0" w:noHBand="0" w:noVBand="1"/>
      </w:tblPr>
      <w:tblGrid>
        <w:gridCol w:w="8342"/>
      </w:tblGrid>
      <w:tr w:rsidR="00713C92" w:rsidRPr="00713C92" w:rsidTr="00713C92">
        <w:tc>
          <w:tcPr>
            <w:tcW w:w="121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88" w:lineRule="atLeast"/>
              <w:jc w:val="center"/>
              <w:textAlignment w:val="baseline"/>
              <w:outlineLvl w:val="1"/>
              <w:rPr>
                <w:rFonts w:ascii="Minion Pro" w:eastAsia="Times New Roman" w:hAnsi="Minion Pro" w:cs="Times New Roman"/>
                <w:b/>
                <w:bCs/>
                <w:sz w:val="36"/>
                <w:szCs w:val="36"/>
                <w:lang w:eastAsia="hr-HR"/>
              </w:rPr>
            </w:pPr>
            <w:r w:rsidRPr="00713C92">
              <w:rPr>
                <w:rFonts w:ascii="Minion Pro" w:eastAsia="Times New Roman" w:hAnsi="Minion Pro" w:cs="Times New Roman"/>
                <w:b/>
                <w:bCs/>
                <w:sz w:val="24"/>
                <w:szCs w:val="24"/>
                <w:bdr w:val="none" w:sz="0" w:space="0" w:color="auto" w:frame="1"/>
                <w:lang w:val="en-GB" w:eastAsia="hr-HR"/>
              </w:rPr>
              <w:t>PLAN I PROGRAM KONTINUIRANE EDUKACIJE MEDICINSKIH SESTARA</w:t>
            </w:r>
            <w:r w:rsidRPr="00713C92">
              <w:rPr>
                <w:rFonts w:ascii="Minion Pro" w:eastAsia="Times New Roman" w:hAnsi="Minion Pro" w:cs="Times New Roman"/>
                <w:b/>
                <w:bCs/>
                <w:sz w:val="24"/>
                <w:szCs w:val="24"/>
                <w:bdr w:val="none" w:sz="0" w:space="0" w:color="auto" w:frame="1"/>
                <w:lang w:eastAsia="hr-HR"/>
              </w:rPr>
              <w:t>/</w:t>
            </w:r>
            <w:r w:rsidRPr="00713C92">
              <w:rPr>
                <w:rFonts w:ascii="Minion Pro" w:eastAsia="Times New Roman" w:hAnsi="Minion Pro" w:cs="Times New Roman"/>
                <w:b/>
                <w:bCs/>
                <w:sz w:val="24"/>
                <w:szCs w:val="24"/>
                <w:bdr w:val="none" w:sz="0" w:space="0" w:color="auto" w:frame="1"/>
                <w:lang w:val="en-GB" w:eastAsia="hr-HR"/>
              </w:rPr>
              <w:t>MEDICINSKIHTEHNI</w:t>
            </w:r>
            <w:r w:rsidRPr="00713C92">
              <w:rPr>
                <w:rFonts w:ascii="Minion Pro" w:eastAsia="Times New Roman" w:hAnsi="Minion Pro" w:cs="Times New Roman"/>
                <w:b/>
                <w:bCs/>
                <w:sz w:val="24"/>
                <w:szCs w:val="24"/>
                <w:bdr w:val="none" w:sz="0" w:space="0" w:color="auto" w:frame="1"/>
                <w:lang w:eastAsia="hr-HR"/>
              </w:rPr>
              <w:t>Č</w:t>
            </w:r>
            <w:r w:rsidRPr="00713C92">
              <w:rPr>
                <w:rFonts w:ascii="Minion Pro" w:eastAsia="Times New Roman" w:hAnsi="Minion Pro" w:cs="Times New Roman"/>
                <w:b/>
                <w:bCs/>
                <w:sz w:val="24"/>
                <w:szCs w:val="24"/>
                <w:bdr w:val="none" w:sz="0" w:space="0" w:color="auto" w:frame="1"/>
                <w:lang w:val="en-GB" w:eastAsia="hr-HR"/>
              </w:rPr>
              <w:t>ARA</w:t>
            </w:r>
            <w:r w:rsidRPr="00713C92">
              <w:rPr>
                <w:rFonts w:ascii="Minion Pro" w:eastAsia="Times New Roman" w:hAnsi="Minion Pro" w:cs="Times New Roman"/>
                <w:b/>
                <w:bCs/>
                <w:sz w:val="24"/>
                <w:szCs w:val="24"/>
                <w:bdr w:val="none" w:sz="0" w:space="0" w:color="auto" w:frame="1"/>
                <w:lang w:eastAsia="hr-HR"/>
              </w:rPr>
              <w:br/>
            </w:r>
            <w:r w:rsidRPr="00713C92">
              <w:rPr>
                <w:rFonts w:ascii="Minion Pro" w:eastAsia="Times New Roman" w:hAnsi="Minion Pro" w:cs="Times New Roman"/>
                <w:b/>
                <w:bCs/>
                <w:sz w:val="24"/>
                <w:szCs w:val="24"/>
                <w:bdr w:val="none" w:sz="0" w:space="0" w:color="auto" w:frame="1"/>
                <w:lang w:val="en-GB" w:eastAsia="hr-HR"/>
              </w:rPr>
              <w:t>ZA RAD U IZVANBOLNI</w:t>
            </w:r>
            <w:r w:rsidRPr="00713C92">
              <w:rPr>
                <w:rFonts w:ascii="Minion Pro" w:eastAsia="Times New Roman" w:hAnsi="Minion Pro" w:cs="Times New Roman"/>
                <w:b/>
                <w:bCs/>
                <w:sz w:val="24"/>
                <w:szCs w:val="24"/>
                <w:bdr w:val="none" w:sz="0" w:space="0" w:color="auto" w:frame="1"/>
                <w:lang w:eastAsia="hr-HR"/>
              </w:rPr>
              <w:t>Č</w:t>
            </w:r>
            <w:r w:rsidRPr="00713C92">
              <w:rPr>
                <w:rFonts w:ascii="Minion Pro" w:eastAsia="Times New Roman" w:hAnsi="Minion Pro" w:cs="Times New Roman"/>
                <w:b/>
                <w:bCs/>
                <w:sz w:val="24"/>
                <w:szCs w:val="24"/>
                <w:bdr w:val="none" w:sz="0" w:space="0" w:color="auto" w:frame="1"/>
                <w:lang w:val="en-GB" w:eastAsia="hr-HR"/>
              </w:rPr>
              <w:t>KOJ HITNOJ MEDICINSKOJ POMO</w:t>
            </w:r>
            <w:r w:rsidRPr="00713C92">
              <w:rPr>
                <w:rFonts w:ascii="Minion Pro" w:eastAsia="Times New Roman" w:hAnsi="Minion Pro" w:cs="Times New Roman"/>
                <w:b/>
                <w:bCs/>
                <w:sz w:val="24"/>
                <w:szCs w:val="24"/>
                <w:bdr w:val="none" w:sz="0" w:space="0" w:color="auto" w:frame="1"/>
                <w:lang w:eastAsia="hr-HR"/>
              </w:rPr>
              <w:t>Ć</w:t>
            </w:r>
            <w:r w:rsidRPr="00713C92">
              <w:rPr>
                <w:rFonts w:ascii="Minion Pro" w:eastAsia="Times New Roman" w:hAnsi="Minion Pro" w:cs="Times New Roman"/>
                <w:b/>
                <w:bCs/>
                <w:sz w:val="24"/>
                <w:szCs w:val="24"/>
                <w:bdr w:val="none" w:sz="0" w:space="0" w:color="auto" w:frame="1"/>
                <w:lang w:val="en-GB" w:eastAsia="hr-HR"/>
              </w:rPr>
              <w:t>I</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1"/>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Mjere zaštite od infektivnih bolesti i upotreba zaštitne opreme</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2"/>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Temeljni postupci održavanja života odraslih prema smjernicama ERC-a (BLS)</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3"/>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Dodatni postupci održavanja života odraslih prema smjernicama ERC-a</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4"/>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Temeljni postupci oživljavanja djece</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5"/>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Načini primjene lijekova</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6"/>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Vrste krvarenja i metode zaustavljanja krvarenja</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7"/>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Šok – patofiziologija, prepoznavanje i principi zbrinjavanja</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8"/>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Vrste ozljeda</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9"/>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Akcidentalna stanja ili stanja uzrokovana fizičkim činiocima</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10"/>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Najčešća akutna stanja</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11"/>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Akutna otrovanja i postupci zbrinjavanja</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12"/>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Porođaj u izvanbolničkim uvjetima</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13"/>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Načini transporta i transportni položaji</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14"/>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Nadzor bolesne i ozlijeđene osobe tijekom transporta</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15"/>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Masovne nesreće i kemijske katastrofe</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16"/>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Održavanje vozila i opreme</w:t>
            </w:r>
          </w:p>
        </w:tc>
      </w:tr>
      <w:tr w:rsidR="00713C92" w:rsidRPr="00713C92" w:rsidTr="00713C92">
        <w:tc>
          <w:tcPr>
            <w:tcW w:w="1216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numPr>
                <w:ilvl w:val="0"/>
                <w:numId w:val="17"/>
              </w:numPr>
              <w:spacing w:after="0" w:line="240" w:lineRule="auto"/>
              <w:ind w:left="0"/>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Komunikacijske vještine u hitnim situacija</w:t>
            </w:r>
          </w:p>
        </w:tc>
      </w:tr>
    </w:tbl>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0"/>
          <w:szCs w:val="20"/>
          <w:bdr w:val="none" w:sz="0" w:space="0" w:color="auto" w:frame="1"/>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0"/>
          <w:szCs w:val="20"/>
          <w:bdr w:val="none" w:sz="0" w:space="0" w:color="auto" w:frame="1"/>
          <w:lang w:eastAsia="hr-HR"/>
        </w:rPr>
        <w:t> </w:t>
      </w:r>
    </w:p>
    <w:p w:rsidR="00713C92" w:rsidRPr="00713C92" w:rsidRDefault="00713C92" w:rsidP="00713C92">
      <w:pPr>
        <w:spacing w:after="0" w:line="240" w:lineRule="auto"/>
        <w:ind w:left="708"/>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Kontinuirana edukacija provodi se jednom u dvije godine, u trajanju od 50 sati, u omjeru 15 sati teorije, 35 sati praktične nastave.</w:t>
      </w:r>
    </w:p>
    <w:p w:rsidR="00713C92" w:rsidRPr="00713C92" w:rsidRDefault="00713C92" w:rsidP="00713C92">
      <w:pPr>
        <w:spacing w:after="0" w:line="240" w:lineRule="auto"/>
        <w:ind w:left="708"/>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Kontinuirana edukacija, u smislu opreme, prostora i edukatora provodi se po istim načelima kao i osnovna edukacija.</w:t>
      </w:r>
    </w:p>
    <w:p w:rsidR="00713C92" w:rsidRPr="00713C92" w:rsidRDefault="00713C92" w:rsidP="00713C92">
      <w:pPr>
        <w:spacing w:after="0" w:line="240" w:lineRule="auto"/>
        <w:ind w:left="708"/>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Nakon položene kontinuirane edukacije, polaznici dobivaju potvrdu o uspješno završenoj edukaciji. </w:t>
      </w:r>
    </w:p>
    <w:p w:rsidR="00713C92" w:rsidRPr="00713C92" w:rsidRDefault="00713C92" w:rsidP="00713C92">
      <w:pPr>
        <w:spacing w:after="0" w:line="240" w:lineRule="auto"/>
        <w:ind w:left="708"/>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Prilog 5.</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tbl>
      <w:tblPr>
        <w:tblpPr w:leftFromText="45" w:rightFromText="45" w:topFromText="150" w:bottomFromText="300" w:vertAnchor="text"/>
        <w:tblW w:w="14550" w:type="dxa"/>
        <w:tblCellMar>
          <w:left w:w="0" w:type="dxa"/>
          <w:right w:w="0" w:type="dxa"/>
        </w:tblCellMar>
        <w:tblLook w:val="04A0" w:firstRow="1" w:lastRow="0" w:firstColumn="1" w:lastColumn="0" w:noHBand="0" w:noVBand="1"/>
      </w:tblPr>
      <w:tblGrid>
        <w:gridCol w:w="602"/>
        <w:gridCol w:w="12251"/>
        <w:gridCol w:w="591"/>
        <w:gridCol w:w="468"/>
        <w:gridCol w:w="638"/>
      </w:tblGrid>
      <w:tr w:rsidR="00713C92" w:rsidRPr="00713C92" w:rsidTr="00713C92">
        <w:trPr>
          <w:trHeight w:val="344"/>
        </w:trPr>
        <w:tc>
          <w:tcPr>
            <w:tcW w:w="14550" w:type="dxa"/>
            <w:gridSpan w:val="5"/>
            <w:tcBorders>
              <w:top w:val="single" w:sz="4" w:space="0" w:color="auto"/>
              <w:left w:val="single" w:sz="4" w:space="0" w:color="auto"/>
              <w:bottom w:val="nil"/>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88" w:lineRule="atLeast"/>
              <w:jc w:val="center"/>
              <w:textAlignment w:val="baseline"/>
              <w:outlineLvl w:val="1"/>
              <w:rPr>
                <w:rFonts w:ascii="Minion Pro" w:eastAsia="Times New Roman" w:hAnsi="Minion Pro" w:cs="Times New Roman"/>
                <w:b/>
                <w:bCs/>
                <w:sz w:val="36"/>
                <w:szCs w:val="36"/>
                <w:lang w:eastAsia="hr-HR"/>
              </w:rPr>
            </w:pPr>
            <w:r w:rsidRPr="00713C92">
              <w:rPr>
                <w:rFonts w:ascii="Minion Pro" w:eastAsia="Times New Roman" w:hAnsi="Minion Pro" w:cs="Times New Roman"/>
                <w:b/>
                <w:bCs/>
                <w:sz w:val="24"/>
                <w:szCs w:val="24"/>
                <w:bdr w:val="none" w:sz="0" w:space="0" w:color="auto" w:frame="1"/>
                <w:lang w:val="en-GB" w:eastAsia="hr-HR"/>
              </w:rPr>
              <w:lastRenderedPageBreak/>
              <w:t>PLAN I PROGRAM EDUKACIJE VOZA</w:t>
            </w:r>
            <w:r w:rsidRPr="00713C92">
              <w:rPr>
                <w:rFonts w:ascii="Minion Pro" w:eastAsia="Times New Roman" w:hAnsi="Minion Pro" w:cs="Times New Roman"/>
                <w:b/>
                <w:bCs/>
                <w:sz w:val="24"/>
                <w:szCs w:val="24"/>
                <w:bdr w:val="none" w:sz="0" w:space="0" w:color="auto" w:frame="1"/>
                <w:lang w:eastAsia="hr-HR"/>
              </w:rPr>
              <w:t>Č</w:t>
            </w:r>
            <w:r w:rsidRPr="00713C92">
              <w:rPr>
                <w:rFonts w:ascii="Minion Pro" w:eastAsia="Times New Roman" w:hAnsi="Minion Pro" w:cs="Times New Roman"/>
                <w:b/>
                <w:bCs/>
                <w:sz w:val="24"/>
                <w:szCs w:val="24"/>
                <w:bdr w:val="none" w:sz="0" w:space="0" w:color="auto" w:frame="1"/>
                <w:lang w:val="en-GB" w:eastAsia="hr-HR"/>
              </w:rPr>
              <w:t>A U IZVANBOLNI</w:t>
            </w:r>
            <w:r w:rsidRPr="00713C92">
              <w:rPr>
                <w:rFonts w:ascii="Minion Pro" w:eastAsia="Times New Roman" w:hAnsi="Minion Pro" w:cs="Times New Roman"/>
                <w:b/>
                <w:bCs/>
                <w:sz w:val="24"/>
                <w:szCs w:val="24"/>
                <w:bdr w:val="none" w:sz="0" w:space="0" w:color="auto" w:frame="1"/>
                <w:lang w:eastAsia="hr-HR"/>
              </w:rPr>
              <w:t>Č</w:t>
            </w:r>
            <w:r w:rsidRPr="00713C92">
              <w:rPr>
                <w:rFonts w:ascii="Minion Pro" w:eastAsia="Times New Roman" w:hAnsi="Minion Pro" w:cs="Times New Roman"/>
                <w:b/>
                <w:bCs/>
                <w:sz w:val="24"/>
                <w:szCs w:val="24"/>
                <w:bdr w:val="none" w:sz="0" w:space="0" w:color="auto" w:frame="1"/>
                <w:lang w:val="en-GB" w:eastAsia="hr-HR"/>
              </w:rPr>
              <w:t>KOJ HITNOJ MEDICINSKOJ POMO</w:t>
            </w:r>
            <w:r w:rsidRPr="00713C92">
              <w:rPr>
                <w:rFonts w:ascii="Minion Pro" w:eastAsia="Times New Roman" w:hAnsi="Minion Pro" w:cs="Times New Roman"/>
                <w:b/>
                <w:bCs/>
                <w:sz w:val="24"/>
                <w:szCs w:val="24"/>
                <w:bdr w:val="none" w:sz="0" w:space="0" w:color="auto" w:frame="1"/>
                <w:lang w:eastAsia="hr-HR"/>
              </w:rPr>
              <w:t>Ć</w:t>
            </w:r>
            <w:r w:rsidRPr="00713C92">
              <w:rPr>
                <w:rFonts w:ascii="Minion Pro" w:eastAsia="Times New Roman" w:hAnsi="Minion Pro" w:cs="Times New Roman"/>
                <w:b/>
                <w:bCs/>
                <w:sz w:val="24"/>
                <w:szCs w:val="24"/>
                <w:bdr w:val="none" w:sz="0" w:space="0" w:color="auto" w:frame="1"/>
                <w:lang w:val="en-GB" w:eastAsia="hr-HR"/>
              </w:rPr>
              <w:t>I</w:t>
            </w:r>
          </w:p>
        </w:tc>
      </w:tr>
      <w:tr w:rsidR="00713C92" w:rsidRPr="00713C92" w:rsidTr="00713C92">
        <w:trPr>
          <w:trHeight w:val="300"/>
        </w:trPr>
        <w:tc>
          <w:tcPr>
            <w:tcW w:w="60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Br.</w:t>
            </w:r>
          </w:p>
        </w:tc>
        <w:tc>
          <w:tcPr>
            <w:tcW w:w="12251"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591"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T</w:t>
            </w:r>
          </w:p>
        </w:tc>
        <w:tc>
          <w:tcPr>
            <w:tcW w:w="468"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P</w:t>
            </w:r>
          </w:p>
        </w:tc>
        <w:tc>
          <w:tcPr>
            <w:tcW w:w="638" w:type="dxa"/>
            <w:tcBorders>
              <w:top w:val="single" w:sz="4" w:space="0" w:color="auto"/>
              <w:left w:val="nil"/>
              <w:bottom w:val="single" w:sz="4" w:space="0" w:color="auto"/>
              <w:right w:val="single" w:sz="4" w:space="0" w:color="auto"/>
            </w:tcBorders>
            <w:shd w:val="clear" w:color="auto" w:fill="FFFFFF"/>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UK</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Vozila / oprema / djelatnici u HMP</w:t>
            </w:r>
          </w:p>
        </w:tc>
        <w:tc>
          <w:tcPr>
            <w:tcW w:w="59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Poznavanje korištenja sustava veza na terenu</w:t>
            </w:r>
          </w:p>
        </w:tc>
        <w:tc>
          <w:tcPr>
            <w:tcW w:w="59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3.</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Mjere zaštite od infektivnih bolesti i upotreba zaštitne opreme</w:t>
            </w:r>
          </w:p>
        </w:tc>
        <w:tc>
          <w:tcPr>
            <w:tcW w:w="59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4.</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Temeljni postupci održavanja života odraslih prema smjernicama ERC-a (BLS)</w:t>
            </w:r>
          </w:p>
        </w:tc>
        <w:tc>
          <w:tcPr>
            <w:tcW w:w="59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5</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7</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5.</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Temeljni postupci oživljavanja djece</w:t>
            </w:r>
          </w:p>
        </w:tc>
        <w:tc>
          <w:tcPr>
            <w:tcW w:w="59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6.</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Vrste krvarenja i metode zaustavljanja krvarenja</w:t>
            </w:r>
          </w:p>
        </w:tc>
        <w:tc>
          <w:tcPr>
            <w:tcW w:w="59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7.</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Vrste ozljeda</w:t>
            </w:r>
          </w:p>
        </w:tc>
        <w:tc>
          <w:tcPr>
            <w:tcW w:w="59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8.</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Vrste imobilizacijskih sredstava i asistencija kod postavljanja</w:t>
            </w:r>
          </w:p>
        </w:tc>
        <w:tc>
          <w:tcPr>
            <w:tcW w:w="59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10</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12</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9.</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Tehnike izvlačenja</w:t>
            </w:r>
          </w:p>
        </w:tc>
        <w:tc>
          <w:tcPr>
            <w:tcW w:w="59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w:t>
            </w:r>
          </w:p>
        </w:tc>
      </w:tr>
      <w:tr w:rsidR="00713C92" w:rsidRPr="00713C92" w:rsidTr="00713C92">
        <w:trPr>
          <w:trHeight w:val="33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10.</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Asistencija kod skidanja kacige ozlijeđenoj osobi</w:t>
            </w:r>
          </w:p>
        </w:tc>
        <w:tc>
          <w:tcPr>
            <w:tcW w:w="59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11.</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Načini transporta </w:t>
            </w:r>
            <w:r w:rsidRPr="00713C92">
              <w:rPr>
                <w:rFonts w:ascii="Minion Pro" w:eastAsia="Times New Roman" w:hAnsi="Minion Pro" w:cs="Times New Roman"/>
                <w:sz w:val="24"/>
                <w:szCs w:val="24"/>
                <w:bdr w:val="none" w:sz="0" w:space="0" w:color="auto" w:frame="1"/>
                <w:lang w:eastAsia="hr-HR"/>
              </w:rPr>
              <w:t>(nosilima, kardijalnom stolicom, platnenim nosilima, prenošenje i manevriranje nepokretnog pacijenta) </w:t>
            </w:r>
            <w:r w:rsidRPr="00713C92">
              <w:rPr>
                <w:rFonts w:ascii="Minion Pro" w:eastAsia="Times New Roman" w:hAnsi="Minion Pro" w:cs="Times New Roman"/>
                <w:b/>
                <w:bCs/>
                <w:sz w:val="24"/>
                <w:szCs w:val="24"/>
                <w:bdr w:val="none" w:sz="0" w:space="0" w:color="auto" w:frame="1"/>
                <w:lang w:eastAsia="hr-HR"/>
              </w:rPr>
              <w:t>i transportni položaji</w:t>
            </w:r>
          </w:p>
        </w:tc>
        <w:tc>
          <w:tcPr>
            <w:tcW w:w="59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3</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4</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12.</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Masovne nesreće i kemijske katastrofe</w:t>
            </w:r>
          </w:p>
        </w:tc>
        <w:tc>
          <w:tcPr>
            <w:tcW w:w="59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2</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2</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13.</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Komunikacijske vještine</w:t>
            </w:r>
          </w:p>
        </w:tc>
        <w:tc>
          <w:tcPr>
            <w:tcW w:w="59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5</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5</w:t>
            </w:r>
          </w:p>
        </w:tc>
      </w:tr>
      <w:tr w:rsidR="00713C92" w:rsidRPr="00713C92" w:rsidTr="00713C92">
        <w:trPr>
          <w:trHeight w:val="300"/>
        </w:trPr>
        <w:tc>
          <w:tcPr>
            <w:tcW w:w="602"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14.</w:t>
            </w:r>
          </w:p>
        </w:tc>
        <w:tc>
          <w:tcPr>
            <w:tcW w:w="1225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Održavanje vozila</w:t>
            </w:r>
          </w:p>
        </w:tc>
        <w:tc>
          <w:tcPr>
            <w:tcW w:w="591"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1</w:t>
            </w:r>
          </w:p>
        </w:tc>
        <w:tc>
          <w:tcPr>
            <w:tcW w:w="46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w:t>
            </w:r>
          </w:p>
        </w:tc>
      </w:tr>
      <w:tr w:rsidR="00713C92" w:rsidRPr="00713C92" w:rsidTr="00713C92">
        <w:trPr>
          <w:trHeight w:val="30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59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591"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15</w:t>
            </w:r>
          </w:p>
        </w:tc>
        <w:tc>
          <w:tcPr>
            <w:tcW w:w="46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30</w:t>
            </w:r>
          </w:p>
        </w:tc>
        <w:tc>
          <w:tcPr>
            <w:tcW w:w="638" w:type="dxa"/>
            <w:tcBorders>
              <w:top w:val="nil"/>
              <w:left w:val="nil"/>
              <w:bottom w:val="single" w:sz="4" w:space="0" w:color="auto"/>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45</w:t>
            </w:r>
          </w:p>
        </w:tc>
      </w:tr>
      <w:tr w:rsidR="00713C92" w:rsidRPr="00713C92" w:rsidTr="00713C92">
        <w:trPr>
          <w:trHeight w:val="30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ind w:firstLine="240"/>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59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outlineLvl w:val="2"/>
              <w:rPr>
                <w:rFonts w:ascii="Minion Pro" w:eastAsia="Times New Roman" w:hAnsi="Minion Pro" w:cs="Times New Roman"/>
                <w:b/>
                <w:bCs/>
                <w:sz w:val="28"/>
                <w:szCs w:val="28"/>
                <w:lang w:eastAsia="hr-HR"/>
              </w:rPr>
            </w:pPr>
            <w:r w:rsidRPr="00713C92">
              <w:rPr>
                <w:rFonts w:ascii="Minion Pro" w:eastAsia="Times New Roman" w:hAnsi="Minion Pro" w:cs="Times New Roman"/>
                <w:b/>
                <w:bCs/>
                <w:sz w:val="24"/>
                <w:szCs w:val="24"/>
                <w:bdr w:val="none" w:sz="0" w:space="0" w:color="auto" w:frame="1"/>
                <w:lang w:val="en-GB" w:eastAsia="hr-HR"/>
              </w:rPr>
              <w:t>Teorijski dio</w:t>
            </w:r>
          </w:p>
        </w:tc>
        <w:tc>
          <w:tcPr>
            <w:tcW w:w="59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right"/>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15</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Praktični dio  </w:t>
            </w:r>
            <w:r w:rsidRPr="00713C92">
              <w:rPr>
                <w:rFonts w:ascii="Minion Pro" w:eastAsia="Times New Roman" w:hAnsi="Minion Pro" w:cs="Times New Roman"/>
                <w:i/>
                <w:iCs/>
                <w:sz w:val="24"/>
                <w:szCs w:val="24"/>
                <w:bdr w:val="none" w:sz="0" w:space="0" w:color="auto" w:frame="1"/>
                <w:lang w:eastAsia="hr-HR"/>
              </w:rPr>
              <w:t>( izračun satnice po načelu maksimalno 10 polaznika po instruktoru )</w:t>
            </w:r>
          </w:p>
        </w:tc>
        <w:tc>
          <w:tcPr>
            <w:tcW w:w="59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right"/>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30</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Ukupno</w:t>
            </w:r>
          </w:p>
        </w:tc>
        <w:tc>
          <w:tcPr>
            <w:tcW w:w="59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right"/>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bdr w:val="none" w:sz="0" w:space="0" w:color="auto" w:frame="1"/>
                <w:lang w:eastAsia="hr-HR"/>
              </w:rPr>
              <w:t>45</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59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r w:rsidRPr="00713C92">
              <w:rPr>
                <w:rFonts w:ascii="Times New Roman" w:eastAsia="Times New Roman" w:hAnsi="Times New Roman" w:cs="Times New Roman"/>
                <w:sz w:val="24"/>
                <w:szCs w:val="24"/>
                <w:lang w:eastAsia="hr-HR"/>
              </w:rPr>
              <w:t>Po završetku edukacije, polaznik pristupa pismenoj i praktičnoj provjeri znanja.</w:t>
            </w:r>
          </w:p>
        </w:tc>
        <w:tc>
          <w:tcPr>
            <w:tcW w:w="59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1225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r w:rsidRPr="00713C92">
              <w:rPr>
                <w:rFonts w:ascii="Times New Roman" w:eastAsia="Times New Roman" w:hAnsi="Times New Roman" w:cs="Times New Roman"/>
                <w:sz w:val="24"/>
                <w:szCs w:val="24"/>
                <w:lang w:eastAsia="hr-HR"/>
              </w:rPr>
              <w:t>Pismenu provjeru znanja polaznik mora zadovoljiti s najmanje 70% uspješnosti.</w:t>
            </w:r>
          </w:p>
        </w:tc>
        <w:tc>
          <w:tcPr>
            <w:tcW w:w="59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rPr>
          <w:trHeight w:val="300"/>
        </w:trPr>
        <w:tc>
          <w:tcPr>
            <w:tcW w:w="602"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1225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r w:rsidRPr="00713C92">
              <w:rPr>
                <w:rFonts w:ascii="Times New Roman" w:eastAsia="Times New Roman" w:hAnsi="Times New Roman" w:cs="Times New Roman"/>
                <w:sz w:val="24"/>
                <w:szCs w:val="24"/>
                <w:lang w:eastAsia="hr-HR"/>
              </w:rPr>
              <w:t>Praktičnu provjeru znanja polaznik polaže pred edukacijskim timom koji ocjenjuje uspješnost.</w:t>
            </w:r>
            <w:r w:rsidRPr="00713C92">
              <w:rPr>
                <w:rFonts w:ascii="Minion Pro" w:eastAsia="Times New Roman" w:hAnsi="Minion Pro" w:cs="Times New Roman"/>
                <w:sz w:val="24"/>
                <w:szCs w:val="24"/>
                <w:bdr w:val="none" w:sz="0" w:space="0" w:color="auto" w:frame="1"/>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i/>
                <w:iCs/>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T= sati teorijske nastave; P= sati praktične nastave; UK= ukupno sati</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sz w:val="24"/>
                <w:szCs w:val="24"/>
                <w:bdr w:val="none" w:sz="0" w:space="0" w:color="auto" w:frame="1"/>
                <w:lang w:eastAsia="hr-HR"/>
              </w:rPr>
              <w:t> </w:t>
            </w:r>
          </w:p>
        </w:tc>
        <w:tc>
          <w:tcPr>
            <w:tcW w:w="591"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46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638" w:type="dxa"/>
            <w:tcBorders>
              <w:top w:val="nil"/>
              <w:left w:val="nil"/>
              <w:bottom w:val="nil"/>
              <w:right w:val="nil"/>
            </w:tcBorders>
            <w:noWrap/>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bl>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lastRenderedPageBreak/>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ind w:firstLine="708"/>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Prilog 6.</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center"/>
        <w:textAlignment w:val="baseline"/>
        <w:outlineLvl w:val="0"/>
        <w:rPr>
          <w:rFonts w:ascii="Minion Pro" w:eastAsia="Times New Roman" w:hAnsi="Minion Pro" w:cs="Times New Roman"/>
          <w:b/>
          <w:bCs/>
          <w:color w:val="000000"/>
          <w:kern w:val="36"/>
          <w:sz w:val="29"/>
          <w:szCs w:val="29"/>
          <w:lang w:eastAsia="hr-HR"/>
        </w:rPr>
      </w:pPr>
      <w:r w:rsidRPr="00713C92">
        <w:rPr>
          <w:rFonts w:ascii="Minion Pro" w:eastAsia="Times New Roman" w:hAnsi="Minion Pro" w:cs="Times New Roman"/>
          <w:b/>
          <w:bCs/>
          <w:color w:val="000000"/>
          <w:kern w:val="36"/>
          <w:sz w:val="24"/>
          <w:szCs w:val="24"/>
          <w:bdr w:val="none" w:sz="0" w:space="0" w:color="auto" w:frame="1"/>
          <w:lang w:val="en-GB" w:eastAsia="hr-HR"/>
        </w:rPr>
        <w:t>UVJETI U POGLEDU PROSTORA I OPREME ZA</w:t>
      </w:r>
      <w:r w:rsidRPr="00713C92">
        <w:rPr>
          <w:rFonts w:ascii="Minion Pro" w:eastAsia="Times New Roman" w:hAnsi="Minion Pro" w:cs="Times New Roman"/>
          <w:b/>
          <w:bCs/>
          <w:color w:val="000000"/>
          <w:kern w:val="36"/>
          <w:sz w:val="24"/>
          <w:szCs w:val="24"/>
          <w:bdr w:val="none" w:sz="0" w:space="0" w:color="auto" w:frame="1"/>
          <w:lang w:eastAsia="hr-HR"/>
        </w:rPr>
        <w:t>  </w:t>
      </w:r>
      <w:r w:rsidRPr="00713C92">
        <w:rPr>
          <w:rFonts w:ascii="Minion Pro" w:eastAsia="Times New Roman" w:hAnsi="Minion Pro" w:cs="Times New Roman"/>
          <w:b/>
          <w:bCs/>
          <w:color w:val="000000"/>
          <w:kern w:val="36"/>
          <w:sz w:val="24"/>
          <w:szCs w:val="24"/>
          <w:bdr w:val="none" w:sz="0" w:space="0" w:color="auto" w:frame="1"/>
          <w:lang w:val="en-GB" w:eastAsia="hr-HR"/>
        </w:rPr>
        <w:t>EDUKACIJU U ZDRAVSTVENIM USTANOVAMA</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Uvjeti u pogledu prostora:</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numPr>
          <w:ilvl w:val="0"/>
          <w:numId w:val="18"/>
        </w:numPr>
        <w:spacing w:after="0" w:line="240" w:lineRule="auto"/>
        <w:ind w:left="0"/>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2,5 m</w:t>
      </w:r>
      <w:r w:rsidRPr="00713C92">
        <w:rPr>
          <w:rFonts w:ascii="Minion Pro" w:eastAsia="Times New Roman" w:hAnsi="Minion Pro" w:cs="Times New Roman"/>
          <w:color w:val="000000"/>
          <w:sz w:val="24"/>
          <w:szCs w:val="24"/>
          <w:bdr w:val="none" w:sz="0" w:space="0" w:color="auto" w:frame="1"/>
          <w:vertAlign w:val="superscript"/>
          <w:lang w:eastAsia="hr-HR"/>
        </w:rPr>
        <w:t>2</w:t>
      </w:r>
      <w:r w:rsidRPr="00713C92">
        <w:rPr>
          <w:rFonts w:ascii="Minion Pro" w:eastAsia="Times New Roman" w:hAnsi="Minion Pro" w:cs="Times New Roman"/>
          <w:color w:val="000000"/>
          <w:sz w:val="24"/>
          <w:szCs w:val="24"/>
          <w:bdr w:val="none" w:sz="0" w:space="0" w:color="auto" w:frame="1"/>
          <w:lang w:eastAsia="hr-HR"/>
        </w:rPr>
        <w:t>, odnosno 8m</w:t>
      </w:r>
      <w:r w:rsidRPr="00713C92">
        <w:rPr>
          <w:rFonts w:ascii="Minion Pro" w:eastAsia="Times New Roman" w:hAnsi="Minion Pro" w:cs="Times New Roman"/>
          <w:color w:val="000000"/>
          <w:sz w:val="24"/>
          <w:szCs w:val="24"/>
          <w:bdr w:val="none" w:sz="0" w:space="0" w:color="auto" w:frame="1"/>
          <w:vertAlign w:val="superscript"/>
          <w:lang w:eastAsia="hr-HR"/>
        </w:rPr>
        <w:t>3</w:t>
      </w:r>
      <w:r w:rsidRPr="00713C92">
        <w:rPr>
          <w:rFonts w:ascii="Minion Pro" w:eastAsia="Times New Roman" w:hAnsi="Minion Pro" w:cs="Times New Roman"/>
          <w:color w:val="000000"/>
          <w:sz w:val="24"/>
          <w:szCs w:val="24"/>
          <w:bdr w:val="none" w:sz="0" w:space="0" w:color="auto" w:frame="1"/>
          <w:lang w:eastAsia="hr-HR"/>
        </w:rPr>
        <w:t>, po polazniku.</w:t>
      </w:r>
    </w:p>
    <w:p w:rsidR="00713C92" w:rsidRPr="00713C92" w:rsidRDefault="00713C92" w:rsidP="00713C92">
      <w:pPr>
        <w:numPr>
          <w:ilvl w:val="0"/>
          <w:numId w:val="18"/>
        </w:numPr>
        <w:spacing w:after="0" w:line="240" w:lineRule="auto"/>
        <w:ind w:left="0"/>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Sanitarni čvor.</w:t>
      </w:r>
    </w:p>
    <w:p w:rsidR="00713C92" w:rsidRPr="00713C92" w:rsidRDefault="00713C92" w:rsidP="00713C92">
      <w:pPr>
        <w:spacing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tbl>
      <w:tblPr>
        <w:tblW w:w="0" w:type="auto"/>
        <w:tblCellMar>
          <w:left w:w="0" w:type="dxa"/>
          <w:right w:w="0" w:type="dxa"/>
        </w:tblCellMar>
        <w:tblLook w:val="04A0" w:firstRow="1" w:lastRow="0" w:firstColumn="1" w:lastColumn="0" w:noHBand="0" w:noVBand="1"/>
      </w:tblPr>
      <w:tblGrid>
        <w:gridCol w:w="516"/>
        <w:gridCol w:w="6131"/>
        <w:gridCol w:w="2415"/>
      </w:tblGrid>
      <w:tr w:rsidR="00713C92" w:rsidRPr="00713C92" w:rsidTr="00713C92">
        <w:tc>
          <w:tcPr>
            <w:tcW w:w="103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outlineLvl w:val="0"/>
              <w:rPr>
                <w:rFonts w:ascii="Minion Pro" w:eastAsia="Times New Roman" w:hAnsi="Minion Pro" w:cs="Times New Roman"/>
                <w:b/>
                <w:bCs/>
                <w:kern w:val="36"/>
                <w:sz w:val="24"/>
                <w:szCs w:val="24"/>
                <w:lang w:eastAsia="hr-HR"/>
              </w:rPr>
            </w:pPr>
            <w:r w:rsidRPr="00713C92">
              <w:rPr>
                <w:rFonts w:ascii="Minion Pro" w:eastAsia="Times New Roman" w:hAnsi="Minion Pro" w:cs="Times New Roman"/>
                <w:b/>
                <w:bCs/>
                <w:kern w:val="36"/>
                <w:sz w:val="24"/>
                <w:szCs w:val="24"/>
                <w:bdr w:val="none" w:sz="0" w:space="0" w:color="auto" w:frame="1"/>
                <w:lang w:val="en-GB" w:eastAsia="hr-HR"/>
              </w:rPr>
              <w:t>Uvjeti u pogledu opreme</w:t>
            </w:r>
          </w:p>
        </w:tc>
        <w:tc>
          <w:tcPr>
            <w:tcW w:w="357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Minion Pro" w:eastAsia="Times New Roman" w:hAnsi="Minion Pro" w:cs="Times New Roman"/>
                <w:b/>
                <w:bCs/>
                <w:sz w:val="24"/>
                <w:szCs w:val="24"/>
                <w:lang w:eastAsia="hr-HR"/>
              </w:rPr>
              <w:t>K o l i č i n 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Lutka za vježbanje umjetnog disanja i vanjske masaže srca za odrasle</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 na 10 polaznika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Lutka za vježbanje umjetnog disanja i vanjske masaže srca za djecu od 1-8 godina starosti</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 na 10 polaznika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3.</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Lutka za vježbanje umjetnog disanja i vanjske masaže srca za do 1 godine starosti</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 na 10 polaznika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4.</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Lutka za vježbanje umjetnog disanja i vanjske masaže srca s pokazivačem djelotvornosti rada za</w:t>
            </w:r>
            <w:r w:rsidRPr="00713C92">
              <w:rPr>
                <w:rFonts w:ascii="Minion Pro" w:eastAsia="Times New Roman" w:hAnsi="Minion Pro" w:cs="Times New Roman"/>
                <w:sz w:val="24"/>
                <w:szCs w:val="24"/>
                <w:bdr w:val="none" w:sz="0" w:space="0" w:color="auto" w:frame="1"/>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odrasle</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 na 20 polaznika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5.</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Lutka za vježbanje umjetnog disanja i vanjske masaže srca s pokazivačem djelotvornosti rada za</w:t>
            </w:r>
            <w:r w:rsidRPr="00713C92">
              <w:rPr>
                <w:rFonts w:ascii="Minion Pro" w:eastAsia="Times New Roman" w:hAnsi="Minion Pro" w:cs="Times New Roman"/>
                <w:sz w:val="24"/>
                <w:szCs w:val="24"/>
                <w:bdr w:val="none" w:sz="0" w:space="0" w:color="auto" w:frame="1"/>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djecu od 1 – 8 godine života</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 na 20 polaznika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6.</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Lutka za vježbanje umjetnog disanja i vanjske masaže srca s pokazivačem djelotvornosti rada za</w:t>
            </w:r>
            <w:r w:rsidRPr="00713C92">
              <w:rPr>
                <w:rFonts w:ascii="Minion Pro" w:eastAsia="Times New Roman" w:hAnsi="Minion Pro" w:cs="Times New Roman"/>
                <w:sz w:val="24"/>
                <w:szCs w:val="24"/>
                <w:bdr w:val="none" w:sz="0" w:space="0" w:color="auto" w:frame="1"/>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djecu do 1 godine života</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 na 20 polaznika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7.</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Lutka za vježbu endotrahealne intubacije za odrasle</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8.</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Lutka za vježbu endotrahealne intubacije za djecu do 1 godine starosti</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9.</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Lutka za vježbanje električne defibrilacije za odrasle</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lastRenderedPageBreak/>
              <w:t>10.</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Lutka za vježbanje dekompresije pneumotoraksa</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11.</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Lutka za vježbanje poroda</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12.</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Umjetna ruka za vježbanje otvaranja IV. Puta</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 na 10 polaznika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13.</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PC sa monitorom i pisačem, te softverom za prezentaciju (Office)</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14.</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Grafoskop</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15.</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Dijaprojektor</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16.</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Videorekorder</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17.</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Tlakomjer na pero</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18.</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Stetoskop</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19.</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Glukometar</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20.</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Pulsni oksimetar</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21.</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Kapnometar</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22.</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Orofaringealni tubusi za odrasle</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 kompleta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23.</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Nazofaringealni tubus za odrasle</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 komplet</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24.</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Aparat za sukciju</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25.</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Nazalni kateter za kisik</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5 komada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26.</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«Ohio» maska za primjenu kisika</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5 komada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27.</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Džepna maska za ventilaciju «usta na masku»</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 na 10 polaznika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28.</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Samošireći balon s maskom</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 komada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29.</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Laringoskop sa pripadajućim spatulama različitih veličina</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 komad</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30.</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Endotrahealni tubusi veličina 6, 6.5, 7, 7.5, 8, 8.5, 9</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3 od svake veličine (pot. mat.)</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31.</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Jednokratne elektrode za monitoring</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 pakiranje (potrošni mat.)</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32.</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Venske kanile «Braunile»</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30 komada (potrošni mat.)</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33.</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Esmarhova poveska</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 komada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34.</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Sistem za infuziju</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10 komada (potrošni mat.)</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35.</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Zavojni materijal (komprese, zavoji … )</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36.</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Schantzov ovratnik (komplet sa 3 veličine)</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 komplet na 10 polaznika</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37.</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Vakuum madrac</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38.</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Prsluk za imobilizaciju i izvlačenje ozlijeđenog iz automobila (SED ili KED)</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39.</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Rasklopna nosila</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40.</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Duga daska za imobilizaciju sa lateralnim stabilizatorima</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41.</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Kramerove udlage (komplet)</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42.</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Pneumatske udlage (komplet)</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43.</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Vakuum udlage (komplet)</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44.</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Motociklistička kaciga</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1</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45.</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Strulnjače za vježbanje na podu</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46.</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Laringealna maska</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47.</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Kombinirani tubus «Combitube»</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2</w:t>
            </w:r>
          </w:p>
        </w:tc>
      </w:tr>
      <w:tr w:rsidR="00713C92" w:rsidRPr="00713C92" w:rsidTr="00713C92">
        <w:tc>
          <w:tcPr>
            <w:tcW w:w="51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c>
          <w:tcPr>
            <w:tcW w:w="986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Treba omogućiti dostupnost transportnog respiratora, transportnog defibrilatora, transportnog elektrokardiografa.</w:t>
            </w:r>
          </w:p>
        </w:tc>
        <w:tc>
          <w:tcPr>
            <w:tcW w:w="3573"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713C92" w:rsidRPr="00713C92" w:rsidRDefault="00713C92" w:rsidP="00713C92">
            <w:pPr>
              <w:spacing w:after="0" w:line="240" w:lineRule="auto"/>
              <w:jc w:val="center"/>
              <w:textAlignment w:val="baseline"/>
              <w:rPr>
                <w:rFonts w:ascii="Times New Roman" w:eastAsia="Times New Roman" w:hAnsi="Times New Roman" w:cs="Times New Roman"/>
                <w:sz w:val="24"/>
                <w:szCs w:val="24"/>
                <w:lang w:eastAsia="hr-HR"/>
              </w:rPr>
            </w:pPr>
            <w:r w:rsidRPr="00713C92">
              <w:rPr>
                <w:rFonts w:ascii="Times New Roman" w:eastAsia="Times New Roman" w:hAnsi="Times New Roman" w:cs="Times New Roman"/>
                <w:sz w:val="24"/>
                <w:szCs w:val="24"/>
                <w:lang w:eastAsia="hr-HR"/>
              </w:rPr>
              <w:t> </w:t>
            </w:r>
          </w:p>
        </w:tc>
      </w:tr>
    </w:tbl>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lastRenderedPageBreak/>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Prilog 7.</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UVJETI U POGLEDU TEHNIČKIH </w:t>
      </w:r>
      <w:r w:rsidRPr="00713C92">
        <w:rPr>
          <w:rFonts w:ascii="Minion Pro" w:eastAsia="Times New Roman" w:hAnsi="Minion Pro" w:cs="Times New Roman"/>
          <w:color w:val="000000"/>
          <w:sz w:val="24"/>
          <w:szCs w:val="24"/>
          <w:lang w:eastAsia="hr-HR"/>
        </w:rPr>
        <w:br/>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KARAKTERISTIKA CESTOVNIH VOZILA</w:t>
      </w:r>
      <w:r w:rsidRPr="00713C92">
        <w:rPr>
          <w:rFonts w:ascii="Minion Pro" w:eastAsia="Times New Roman" w:hAnsi="Minion Pro" w:cs="Times New Roman"/>
          <w:color w:val="000000"/>
          <w:sz w:val="24"/>
          <w:szCs w:val="24"/>
          <w:lang w:eastAsia="hr-HR"/>
        </w:rPr>
        <w:br/>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ZA PRIJEVOZ U IZVANBOLNIČKOJ</w:t>
      </w:r>
      <w:r w:rsidRPr="00713C92">
        <w:rPr>
          <w:rFonts w:ascii="Minion Pro" w:eastAsia="Times New Roman" w:hAnsi="Minion Pro" w:cs="Times New Roman"/>
          <w:color w:val="000000"/>
          <w:sz w:val="24"/>
          <w:szCs w:val="24"/>
          <w:lang w:eastAsia="hr-HR"/>
        </w:rPr>
        <w:br/>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HITNOJ MEDICINSKOJ POMOĆI</w:t>
      </w:r>
    </w:p>
    <w:p w:rsidR="00713C92" w:rsidRPr="00713C92" w:rsidRDefault="00713C92" w:rsidP="00713C92">
      <w:pPr>
        <w:spacing w:after="0" w:line="240" w:lineRule="auto"/>
        <w:textAlignment w:val="baseline"/>
        <w:outlineLvl w:val="2"/>
        <w:rPr>
          <w:rFonts w:ascii="Minion Pro" w:eastAsia="Times New Roman" w:hAnsi="Minion Pro" w:cs="Times New Roman"/>
          <w:b/>
          <w:bCs/>
          <w:color w:val="000000"/>
          <w:sz w:val="28"/>
          <w:szCs w:val="28"/>
          <w:lang w:eastAsia="hr-HR"/>
        </w:rPr>
      </w:pPr>
      <w:r w:rsidRPr="00713C92">
        <w:rPr>
          <w:rFonts w:ascii="Minion Pro" w:eastAsia="Times New Roman" w:hAnsi="Minion Pro" w:cs="Times New Roman"/>
          <w:b/>
          <w:bCs/>
          <w:color w:val="000000"/>
          <w:bdr w:val="none" w:sz="0" w:space="0" w:color="auto" w:frame="1"/>
          <w:lang w:val="en-GB" w:eastAsia="hr-HR"/>
        </w:rPr>
        <w:t>A</w:t>
      </w:r>
      <w:r w:rsidRPr="00713C92">
        <w:rPr>
          <w:rFonts w:ascii="Minion Pro" w:eastAsia="Times New Roman" w:hAnsi="Minion Pro" w:cs="Times New Roman"/>
          <w:b/>
          <w:bCs/>
          <w:color w:val="000000"/>
          <w:bdr w:val="none" w:sz="0" w:space="0" w:color="auto" w:frame="1"/>
          <w:lang w:eastAsia="hr-HR"/>
        </w:rPr>
        <w:t>. </w:t>
      </w:r>
      <w:r w:rsidRPr="00713C92">
        <w:rPr>
          <w:rFonts w:ascii="Minion Pro" w:eastAsia="Times New Roman" w:hAnsi="Minion Pro" w:cs="Times New Roman"/>
          <w:b/>
          <w:bCs/>
          <w:color w:val="000000"/>
          <w:bdr w:val="none" w:sz="0" w:space="0" w:color="auto" w:frame="1"/>
          <w:lang w:val="en-GB" w:eastAsia="hr-HR"/>
        </w:rPr>
        <w:t>Vozilo za hitnu medicinsku pomo</w:t>
      </w:r>
      <w:r w:rsidRPr="00713C92">
        <w:rPr>
          <w:rFonts w:ascii="Minion Pro" w:eastAsia="Times New Roman" w:hAnsi="Minion Pro" w:cs="Times New Roman"/>
          <w:b/>
          <w:bCs/>
          <w:color w:val="000000"/>
          <w:bdr w:val="none" w:sz="0" w:space="0" w:color="auto" w:frame="1"/>
          <w:lang w:eastAsia="hr-HR"/>
        </w:rPr>
        <w:t>ć</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ind w:left="426"/>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Vrsta vozila: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Kombi</w:t>
      </w:r>
    </w:p>
    <w:p w:rsidR="00713C92" w:rsidRPr="00713C92" w:rsidRDefault="00713C92" w:rsidP="00713C92">
      <w:pPr>
        <w:spacing w:after="0" w:line="240" w:lineRule="auto"/>
        <w:ind w:left="426"/>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Vanjske dimenzije: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 dužina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4 600 – 5 400 mm</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 širina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1 800 - 2 200 mm</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 visina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2 700 - 2 950 mm</w:t>
      </w:r>
    </w:p>
    <w:p w:rsidR="00713C92" w:rsidRPr="00713C92" w:rsidRDefault="00713C92" w:rsidP="00713C92">
      <w:pPr>
        <w:spacing w:after="0" w:line="240" w:lineRule="auto"/>
        <w:ind w:left="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Dimenzije bolesničkog prostora: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 dužina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2 450 - 3 600 mm</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 širina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1 700 - 2 100 mm</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 visina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1 800 - 2 050 mm</w:t>
      </w:r>
    </w:p>
    <w:p w:rsidR="00713C92" w:rsidRPr="00713C92" w:rsidRDefault="00713C92" w:rsidP="00713C92">
      <w:pPr>
        <w:spacing w:after="0" w:line="240" w:lineRule="auto"/>
        <w:ind w:left="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Motor:</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2 000 - 2 500/cm</w:t>
      </w:r>
      <w:r w:rsidRPr="00713C92">
        <w:rPr>
          <w:rFonts w:ascii="Minion Pro" w:eastAsia="Times New Roman" w:hAnsi="Minion Pro" w:cs="Times New Roman"/>
          <w:color w:val="000000"/>
          <w:sz w:val="24"/>
          <w:szCs w:val="24"/>
          <w:vertAlign w:val="superscript"/>
          <w:lang w:eastAsia="hr-HR"/>
        </w:rPr>
        <w:t>3</w:t>
      </w:r>
    </w:p>
    <w:p w:rsidR="00713C92" w:rsidRPr="00713C92" w:rsidRDefault="00713C92" w:rsidP="00713C92">
      <w:pPr>
        <w:spacing w:after="0" w:line="240" w:lineRule="auto"/>
        <w:ind w:left="2871" w:hanging="2445"/>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Radna snaga:</w:t>
      </w: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minimalna radna snaga 0,7 kw po 20 kg težine opremljenog vozila</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5. stupanjski mjenjač</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Servo upravljač</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Ovjesi prilagođeni potrebama sanitetskog prijevoza</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Sinkro pogon 4WD</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Naplatak:</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14 cola - 16 cola</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Gume: </w:t>
      </w:r>
      <w:r w:rsidRPr="00713C92">
        <w:rPr>
          <w:rFonts w:ascii="Minion Pro" w:eastAsia="Times New Roman" w:hAnsi="Minion Pro" w:cs="Times New Roman"/>
          <w:i/>
          <w:iCs/>
          <w:color w:val="000000"/>
          <w:sz w:val="24"/>
          <w:szCs w:val="2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odgovarajuće gume radijalnog tipa (ljetne i zimske)</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Kočnice:</w:t>
      </w:r>
      <w:r w:rsidRPr="00713C92">
        <w:rPr>
          <w:rFonts w:ascii="Minion Pro" w:eastAsia="Times New Roman" w:hAnsi="Minion Pro" w:cs="Times New Roman"/>
          <w:i/>
          <w:iCs/>
          <w:color w:val="000000"/>
          <w:sz w:val="24"/>
          <w:szCs w:val="2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ABS</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Katalizator</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Spremnik za gorivo:</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80 L (s jednim punjenjem goriva moguće je kod konstantno 90</w:t>
      </w:r>
    </w:p>
    <w:p w:rsidR="00713C92" w:rsidRPr="00713C92" w:rsidRDefault="00713C92" w:rsidP="00713C92">
      <w:pPr>
        <w:spacing w:after="0" w:line="240" w:lineRule="auto"/>
        <w:ind w:left="72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km/h prijeći minimalno 700 km)</w:t>
      </w:r>
    </w:p>
    <w:p w:rsidR="00713C92" w:rsidRPr="00713C92" w:rsidRDefault="00713C92" w:rsidP="00713C92">
      <w:pPr>
        <w:spacing w:after="0" w:line="240" w:lineRule="auto"/>
        <w:ind w:left="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Potrošnja: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konst. 90 km/h do 9,5 L</w:t>
      </w:r>
    </w:p>
    <w:p w:rsidR="00713C92" w:rsidRPr="00713C92" w:rsidRDefault="00713C92" w:rsidP="00713C92">
      <w:pPr>
        <w:spacing w:after="0" w:line="240" w:lineRule="auto"/>
        <w:ind w:left="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Brzina: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najmanja 125 km/h</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Pregradna stijena sa pomičnim prozorom</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Autonomno grijanje bolesničkog prostora</w:t>
      </w: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(kod vanjske temperature od - 15ºC</w:t>
      </w:r>
    </w:p>
    <w:p w:rsidR="00713C92" w:rsidRPr="00713C92" w:rsidRDefault="00713C92" w:rsidP="00713C92">
      <w:pPr>
        <w:spacing w:after="0" w:line="240" w:lineRule="auto"/>
        <w:ind w:left="72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zagrijavanje do + 18ºC mora uslijediti nakon 10 min)</w:t>
      </w:r>
    </w:p>
    <w:p w:rsidR="00713C92" w:rsidRPr="00713C92" w:rsidRDefault="00713C92" w:rsidP="00713C92">
      <w:pPr>
        <w:spacing w:after="0" w:line="240" w:lineRule="auto"/>
        <w:ind w:left="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Klima uređaj</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Retrovizor za vozača: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vanjski 2 komada - lijevi i desni</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Sjedala naprijed:</w:t>
      </w:r>
      <w:r w:rsidRPr="00713C92">
        <w:rPr>
          <w:rFonts w:ascii="Minion Pro" w:eastAsia="Times New Roman" w:hAnsi="Minion Pro" w:cs="Times New Roman"/>
          <w:i/>
          <w:iCs/>
          <w:color w:val="000000"/>
          <w:sz w:val="24"/>
          <w:szCs w:val="2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1 + 1</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Dodatna svjetla za maglu</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Jedna dodatna akumulatorska baterija</w:t>
      </w:r>
      <w:r w:rsidRPr="00713C92">
        <w:rPr>
          <w:rFonts w:ascii="Times New Roman" w:eastAsia="Times New Roman" w:hAnsi="Times New Roman" w:cs="Times New Roman"/>
          <w:color w:val="000000"/>
          <w:sz w:val="24"/>
          <w:szCs w:val="24"/>
          <w:lang w:eastAsia="hr-HR"/>
        </w:rPr>
        <w:t> zbog povećanje potrošnje električne energije</w:t>
      </w:r>
    </w:p>
    <w:p w:rsidR="00713C92" w:rsidRPr="00713C92" w:rsidRDefault="00713C92" w:rsidP="00713C92">
      <w:pPr>
        <w:spacing w:after="0" w:line="240" w:lineRule="auto"/>
        <w:ind w:firstLine="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Vanjski priključak na električnu mrežu (220 V / 50 Hz) za:</w:t>
      </w:r>
    </w:p>
    <w:p w:rsidR="00713C92" w:rsidRPr="00713C92" w:rsidRDefault="00713C92" w:rsidP="00713C92">
      <w:pPr>
        <w:spacing w:after="0" w:line="240" w:lineRule="auto"/>
        <w:ind w:left="180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električni grijač zraka s termostatom</w:t>
      </w:r>
    </w:p>
    <w:p w:rsidR="00713C92" w:rsidRPr="00713C92" w:rsidRDefault="00713C92" w:rsidP="00713C92">
      <w:pPr>
        <w:spacing w:after="0" w:line="240" w:lineRule="auto"/>
        <w:ind w:left="180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uređaj za punjenje akumulatora vozila</w:t>
      </w:r>
    </w:p>
    <w:p w:rsidR="00713C92" w:rsidRPr="00713C92" w:rsidRDefault="00713C92" w:rsidP="00713C92">
      <w:pPr>
        <w:spacing w:after="0" w:line="240" w:lineRule="auto"/>
        <w:ind w:left="180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mogućnost punjenja baterija medicinske opreme</w:t>
      </w:r>
    </w:p>
    <w:p w:rsidR="00713C92" w:rsidRPr="00713C92" w:rsidRDefault="00713C92" w:rsidP="00713C92">
      <w:pPr>
        <w:spacing w:after="0" w:line="240" w:lineRule="auto"/>
        <w:ind w:left="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Bočna vrata bolesničkog prostora smještena s desne strane vozila, klizna</w:t>
      </w:r>
      <w:r w:rsidRPr="00713C92">
        <w:rPr>
          <w:rFonts w:ascii="Times New Roman" w:eastAsia="Times New Roman" w:hAnsi="Times New Roman" w:cs="Times New Roman"/>
          <w:color w:val="000000"/>
          <w:sz w:val="24"/>
          <w:szCs w:val="24"/>
          <w:lang w:eastAsia="hr-HR"/>
        </w:rPr>
        <w:t> (otvaraju se</w:t>
      </w: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ind w:left="87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uz</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bočnu stijenu vozila), mogućnost otvaranja i zatvaranja s vanjske i unutarnje</w:t>
      </w:r>
    </w:p>
    <w:p w:rsidR="00713C92" w:rsidRPr="00713C92" w:rsidRDefault="00713C92" w:rsidP="00713C92">
      <w:pPr>
        <w:spacing w:after="0" w:line="240" w:lineRule="auto"/>
        <w:ind w:left="87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strane vozila</w:t>
      </w:r>
    </w:p>
    <w:p w:rsidR="00713C92" w:rsidRPr="00713C92" w:rsidRDefault="00713C92" w:rsidP="00713C92">
      <w:pPr>
        <w:spacing w:after="0" w:line="240" w:lineRule="auto"/>
        <w:ind w:left="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lastRenderedPageBreak/>
        <w:t>Stražnja vrata bolesničkog prostora:</w:t>
      </w:r>
      <w:r w:rsidRPr="00713C92">
        <w:rPr>
          <w:rFonts w:ascii="Times New Roman" w:eastAsia="Times New Roman" w:hAnsi="Times New Roman" w:cs="Times New Roman"/>
          <w:color w:val="000000"/>
          <w:sz w:val="24"/>
          <w:szCs w:val="24"/>
          <w:lang w:eastAsia="hr-HR"/>
        </w:rPr>
        <w:t> dvokrilna, vezana na bočne stijenke vozila ili</w:t>
      </w:r>
    </w:p>
    <w:p w:rsidR="00713C92" w:rsidRPr="00713C92" w:rsidRDefault="00713C92" w:rsidP="00713C92">
      <w:pPr>
        <w:spacing w:after="0" w:line="240" w:lineRule="auto"/>
        <w:ind w:left="84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jednokrilna vezana na krovnu stijenu vozila, mogućnost otvaranja i zatvaranja s vanjske</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i unutarnje strane vozila</w:t>
      </w:r>
    </w:p>
    <w:p w:rsidR="00713C92" w:rsidRPr="00713C92" w:rsidRDefault="00713C92" w:rsidP="00713C92">
      <w:pPr>
        <w:spacing w:after="0" w:line="240" w:lineRule="auto"/>
        <w:ind w:left="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Ako je pod bolesničkog prostora viši od 40 cm mora biti predviđena stepenica</w:t>
      </w:r>
      <w:r w:rsidRPr="00713C92">
        <w:rPr>
          <w:rFonts w:ascii="Times New Roman" w:eastAsia="Times New Roman" w:hAnsi="Times New Roman" w:cs="Times New Roman"/>
          <w:color w:val="000000"/>
          <w:sz w:val="24"/>
          <w:szCs w:val="24"/>
          <w:lang w:eastAsia="hr-HR"/>
        </w:rPr>
        <w:t> širine 70</w:t>
      </w: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ind w:left="72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cm i dubine 15 cm na mjestu pristupa u bolesnički prostor ispod bočnih vrata</w:t>
      </w:r>
    </w:p>
    <w:p w:rsidR="00713C92" w:rsidRPr="00713C92" w:rsidRDefault="00713C92" w:rsidP="00713C92">
      <w:pPr>
        <w:spacing w:after="0" w:line="240" w:lineRule="auto"/>
        <w:ind w:left="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Boja:</w:t>
      </w: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bijela, s međunarodnim oznakama HMP</w:t>
      </w: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88" w:lineRule="atLeast"/>
        <w:textAlignment w:val="baseline"/>
        <w:outlineLvl w:val="1"/>
        <w:rPr>
          <w:rFonts w:ascii="Minion Pro" w:eastAsia="Times New Roman" w:hAnsi="Minion Pro" w:cs="Times New Roman"/>
          <w:b/>
          <w:bCs/>
          <w:color w:val="000000"/>
          <w:sz w:val="36"/>
          <w:szCs w:val="36"/>
          <w:lang w:eastAsia="hr-HR"/>
        </w:rPr>
      </w:pPr>
      <w:r w:rsidRPr="00713C92">
        <w:rPr>
          <w:rFonts w:ascii="Minion Pro" w:eastAsia="Times New Roman" w:hAnsi="Minion Pro" w:cs="Times New Roman"/>
          <w:b/>
          <w:bCs/>
          <w:color w:val="000000"/>
          <w:bdr w:val="none" w:sz="0" w:space="0" w:color="auto" w:frame="1"/>
          <w:lang w:val="de-DE" w:eastAsia="hr-HR"/>
        </w:rPr>
        <w:t>B. Vozilo za hitni prijevoz</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ind w:left="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Vrsta vozila: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Kombi</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Vanjske dimenzije: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 dužina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4 600 - 4 700 mm</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 širina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1 700 - 2 000 mm</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 visina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2 300 - 2 800 mm</w:t>
      </w:r>
    </w:p>
    <w:p w:rsidR="00713C92" w:rsidRPr="00713C92" w:rsidRDefault="00713C92" w:rsidP="00713C92">
      <w:pPr>
        <w:spacing w:after="0" w:line="240" w:lineRule="auto"/>
        <w:ind w:left="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Dimenzije bolesničkog prostora: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 dužina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2 450 - 2 900 mm</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 širina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1 600 - 1 900 mm</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 visina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1 400 - 1 900 mm</w:t>
      </w:r>
    </w:p>
    <w:p w:rsidR="00713C92" w:rsidRPr="00713C92" w:rsidRDefault="00713C92" w:rsidP="00713C92">
      <w:pPr>
        <w:spacing w:after="0" w:line="240" w:lineRule="auto"/>
        <w:ind w:left="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Motor:</w:t>
      </w:r>
      <w:r w:rsidRPr="00713C92">
        <w:rPr>
          <w:rFonts w:ascii="Minion Pro" w:eastAsia="Times New Roman" w:hAnsi="Minion Pro" w:cs="Times New Roman"/>
          <w:i/>
          <w:iCs/>
          <w:color w:val="000000"/>
          <w:sz w:val="24"/>
          <w:szCs w:val="2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2 000 - 2 500/cm</w:t>
      </w:r>
      <w:r w:rsidRPr="00713C92">
        <w:rPr>
          <w:rFonts w:ascii="Minion Pro" w:eastAsia="Times New Roman" w:hAnsi="Minion Pro" w:cs="Times New Roman"/>
          <w:color w:val="000000"/>
          <w:sz w:val="24"/>
          <w:szCs w:val="24"/>
          <w:vertAlign w:val="superscript"/>
          <w:lang w:eastAsia="hr-HR"/>
        </w:rPr>
        <w:t>3</w:t>
      </w:r>
    </w:p>
    <w:p w:rsidR="00713C92" w:rsidRPr="00713C92" w:rsidRDefault="00713C92" w:rsidP="00713C92">
      <w:pPr>
        <w:spacing w:after="0" w:line="240" w:lineRule="auto"/>
        <w:ind w:left="2879" w:hanging="2595"/>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Radna snaga:</w:t>
      </w: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minimalna radna snaga 0,7 kw po 20 kg težine opremljenog vozila</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5. stupanjski mjenjač</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Servo upravljač</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Ovjesi prilagođeni potrebama sanitetskog prijevoza</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Sinkro pogon 4 WD</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Naplatak:</w:t>
      </w:r>
      <w:r w:rsidRPr="00713C92">
        <w:rPr>
          <w:rFonts w:ascii="Minion Pro" w:eastAsia="Times New Roman" w:hAnsi="Minion Pro" w:cs="Times New Roman"/>
          <w:i/>
          <w:iCs/>
          <w:color w:val="000000"/>
          <w:sz w:val="24"/>
          <w:szCs w:val="2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14 cola - 16 cola</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Gume:</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odgovarajuće gume radijalnog tipa (ljetne i zimske)</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Kočnice:</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ABS</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Katalizator</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Spremnik za gorivo:</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80 L (s jednim punjenjem goriva moguće je kod konstantno 90</w:t>
      </w:r>
    </w:p>
    <w:p w:rsidR="00713C92" w:rsidRPr="00713C92" w:rsidRDefault="00713C92" w:rsidP="00713C92">
      <w:pPr>
        <w:spacing w:after="0" w:line="240" w:lineRule="auto"/>
        <w:ind w:firstLine="72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km/h prijeći minimalno 700 km)</w:t>
      </w:r>
    </w:p>
    <w:p w:rsidR="00713C92" w:rsidRPr="00713C92" w:rsidRDefault="00713C92" w:rsidP="00713C92">
      <w:pPr>
        <w:spacing w:after="0" w:line="240" w:lineRule="auto"/>
        <w:ind w:left="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Potrošnja: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konst. 90 km/h do 9,5 L</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Brzina: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najmanja 125 km/h</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Pregradna stijena sa pomičnim prozorom</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Autonomno grijanje bolesničkog prostora</w:t>
      </w:r>
      <w:r w:rsidRPr="00713C92">
        <w:rPr>
          <w:rFonts w:ascii="Times New Roman" w:eastAsia="Times New Roman" w:hAnsi="Times New Roman" w:cs="Times New Roman"/>
          <w:color w:val="000000"/>
          <w:sz w:val="24"/>
          <w:szCs w:val="24"/>
          <w:lang w:eastAsia="hr-HR"/>
        </w:rPr>
        <w:t> (kod vanjske temperature od - 15ºC</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zagrijavanje do + 18ºC mora uslijediti nakon 10 min)</w:t>
      </w:r>
    </w:p>
    <w:p w:rsidR="00713C92" w:rsidRPr="00713C92" w:rsidRDefault="00713C92" w:rsidP="00713C92">
      <w:pPr>
        <w:spacing w:after="0" w:line="240" w:lineRule="auto"/>
        <w:ind w:left="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Klima uređaj</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Retrovizor za vozača: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vanjski 2 komada - lijevi i desni</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Sjedala naprijed:</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1 + 1</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Dodatna svjetla za maglu</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Bočna vrata bolesničkog prostora smještena s desne strane vozila</w:t>
      </w:r>
      <w:r w:rsidRPr="00713C92">
        <w:rPr>
          <w:rFonts w:ascii="Times New Roman" w:eastAsia="Times New Roman" w:hAnsi="Times New Roman" w:cs="Times New Roman"/>
          <w:color w:val="000000"/>
          <w:sz w:val="24"/>
          <w:szCs w:val="24"/>
          <w:lang w:eastAsia="hr-HR"/>
        </w:rPr>
        <w:t>, klizna (otvaraju se uz</w:t>
      </w:r>
    </w:p>
    <w:p w:rsidR="00713C92" w:rsidRPr="00713C92" w:rsidRDefault="00713C92" w:rsidP="00713C92">
      <w:pPr>
        <w:spacing w:after="0" w:line="240" w:lineRule="auto"/>
        <w:ind w:firstLine="72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bočnu stijenu vozila), mogućnost otvaranja i zatvaranja s vanjske i unutarnje strane</w:t>
      </w:r>
    </w:p>
    <w:p w:rsidR="00713C92" w:rsidRPr="00713C92" w:rsidRDefault="00713C92" w:rsidP="00713C92">
      <w:pPr>
        <w:spacing w:after="0" w:line="240" w:lineRule="auto"/>
        <w:ind w:firstLine="72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vozila</w:t>
      </w:r>
    </w:p>
    <w:p w:rsidR="00713C92" w:rsidRPr="00713C92" w:rsidRDefault="00713C92" w:rsidP="00713C92">
      <w:pPr>
        <w:spacing w:after="0" w:line="240" w:lineRule="auto"/>
        <w:ind w:left="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Stražnja vrata bolesničkog prostora:</w:t>
      </w:r>
      <w:r w:rsidRPr="00713C92">
        <w:rPr>
          <w:rFonts w:ascii="Times New Roman" w:eastAsia="Times New Roman" w:hAnsi="Times New Roman" w:cs="Times New Roman"/>
          <w:color w:val="000000"/>
          <w:sz w:val="24"/>
          <w:szCs w:val="24"/>
          <w:lang w:eastAsia="hr-HR"/>
        </w:rPr>
        <w:t> dvokrilna, vezana na bočne stijenke vozila ili</w:t>
      </w:r>
    </w:p>
    <w:p w:rsidR="00713C92" w:rsidRPr="00713C92" w:rsidRDefault="00713C92" w:rsidP="00713C92">
      <w:pPr>
        <w:spacing w:after="0" w:line="240" w:lineRule="auto"/>
        <w:ind w:firstLine="72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jednokrilna vezana na krovnu stijenu vozila, mogućnost otvaranja i zatvaranja s</w:t>
      </w: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ind w:firstLine="72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vanjske i unutarnje strane vozila</w:t>
      </w:r>
    </w:p>
    <w:p w:rsidR="00713C92" w:rsidRPr="00713C92" w:rsidRDefault="00713C92" w:rsidP="00713C92">
      <w:pPr>
        <w:spacing w:after="0" w:line="240" w:lineRule="auto"/>
        <w:ind w:left="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Ako je pod bolesničkog prostora viši od 40 cm mora biti predviđena stepenica</w:t>
      </w:r>
      <w:r w:rsidRPr="00713C92">
        <w:rPr>
          <w:rFonts w:ascii="Times New Roman" w:eastAsia="Times New Roman" w:hAnsi="Times New Roman" w:cs="Times New Roman"/>
          <w:color w:val="000000"/>
          <w:sz w:val="24"/>
          <w:szCs w:val="24"/>
          <w:lang w:eastAsia="hr-HR"/>
        </w:rPr>
        <w:t> širine 70</w:t>
      </w:r>
    </w:p>
    <w:p w:rsidR="00713C92" w:rsidRPr="00713C92" w:rsidRDefault="00713C92" w:rsidP="00713C92">
      <w:pPr>
        <w:spacing w:after="0" w:line="240" w:lineRule="auto"/>
        <w:ind w:firstLine="72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cm i dubine 15 cm na mjestu pristupa u</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bolesnički prostor ispod bočnih vrata</w:t>
      </w:r>
    </w:p>
    <w:p w:rsidR="00713C92" w:rsidRPr="00713C92" w:rsidRDefault="00713C92" w:rsidP="00713C92">
      <w:pPr>
        <w:spacing w:after="0" w:line="240" w:lineRule="auto"/>
        <w:ind w:left="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Boja: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bijela, s međunarodnim oznakama HMP</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lastRenderedPageBreak/>
        <w:t> </w:t>
      </w:r>
    </w:p>
    <w:p w:rsidR="00713C92" w:rsidRPr="00713C92" w:rsidRDefault="00713C92" w:rsidP="00713C92">
      <w:pPr>
        <w:spacing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tbl>
      <w:tblPr>
        <w:tblpPr w:leftFromText="45" w:rightFromText="45" w:topFromText="150" w:bottomFromText="300" w:vertAnchor="text"/>
        <w:tblW w:w="0" w:type="auto"/>
        <w:tblCellSpacing w:w="0" w:type="dxa"/>
        <w:tblCellMar>
          <w:left w:w="0" w:type="dxa"/>
          <w:right w:w="0" w:type="dxa"/>
        </w:tblCellMar>
        <w:tblLook w:val="04A0" w:firstRow="1" w:lastRow="0" w:firstColumn="1" w:lastColumn="0" w:noHBand="0" w:noVBand="1"/>
      </w:tblPr>
      <w:tblGrid>
        <w:gridCol w:w="225"/>
        <w:gridCol w:w="1350"/>
      </w:tblGrid>
      <w:tr w:rsidR="00713C92" w:rsidRPr="00713C92" w:rsidTr="00713C92">
        <w:trPr>
          <w:gridAfter w:val="1"/>
          <w:wAfter w:w="1350" w:type="dxa"/>
          <w:trHeight w:val="120"/>
          <w:tblCellSpacing w:w="0" w:type="dxa"/>
        </w:trPr>
        <w:tc>
          <w:tcPr>
            <w:tcW w:w="225" w:type="dxa"/>
            <w:tcBorders>
              <w:top w:val="nil"/>
              <w:left w:val="nil"/>
              <w:bottom w:val="nil"/>
              <w:right w:val="nil"/>
            </w:tcBorders>
            <w:vAlign w:val="center"/>
            <w:hideMark/>
          </w:tcPr>
          <w:p w:rsidR="00713C92" w:rsidRPr="00713C92" w:rsidRDefault="00713C92" w:rsidP="00713C92">
            <w:pPr>
              <w:spacing w:after="0" w:line="240" w:lineRule="auto"/>
              <w:rPr>
                <w:rFonts w:ascii="Times New Roman" w:eastAsia="Times New Roman" w:hAnsi="Times New Roman" w:cs="Times New Roman"/>
                <w:color w:val="000000"/>
                <w:sz w:val="24"/>
                <w:szCs w:val="24"/>
                <w:lang w:eastAsia="hr-HR"/>
              </w:rPr>
            </w:pPr>
          </w:p>
        </w:tc>
      </w:tr>
      <w:tr w:rsidR="00713C92" w:rsidRPr="00713C92" w:rsidTr="00713C92">
        <w:trPr>
          <w:trHeight w:val="510"/>
          <w:tblCellSpacing w:w="0" w:type="dxa"/>
        </w:trPr>
        <w:tc>
          <w:tcPr>
            <w:tcW w:w="0" w:type="auto"/>
            <w:tcBorders>
              <w:top w:val="nil"/>
              <w:left w:val="nil"/>
              <w:bottom w:val="nil"/>
              <w:right w:val="nil"/>
            </w:tcBorders>
            <w:vAlign w:val="center"/>
            <w:hideMark/>
          </w:tcPr>
          <w:p w:rsidR="00713C92" w:rsidRPr="00713C92" w:rsidRDefault="00713C92" w:rsidP="00713C92">
            <w:pPr>
              <w:spacing w:after="0" w:line="240" w:lineRule="auto"/>
              <w:rPr>
                <w:rFonts w:ascii="Times New Roman" w:eastAsia="Times New Roman" w:hAnsi="Times New Roman" w:cs="Times New Roman"/>
                <w:sz w:val="20"/>
                <w:szCs w:val="20"/>
                <w:lang w:eastAsia="hr-HR"/>
              </w:rPr>
            </w:pPr>
          </w:p>
        </w:tc>
        <w:tc>
          <w:tcPr>
            <w:tcW w:w="1350" w:type="dxa"/>
            <w:tcBorders>
              <w:top w:val="single" w:sz="6" w:space="0" w:color="FFFFFF"/>
              <w:left w:val="single" w:sz="6" w:space="0" w:color="FFFFFF"/>
              <w:bottom w:val="single" w:sz="6" w:space="0" w:color="FFFFFF"/>
              <w:right w:val="single" w:sz="6" w:space="0" w:color="FFFFFF"/>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320"/>
            </w:tblGrid>
            <w:tr w:rsidR="00713C92" w:rsidRPr="00713C92">
              <w:trPr>
                <w:tblCellSpacing w:w="0" w:type="dxa"/>
              </w:trPr>
              <w:tc>
                <w:tcPr>
                  <w:tcW w:w="0" w:type="auto"/>
                  <w:tcBorders>
                    <w:top w:val="nil"/>
                    <w:left w:val="nil"/>
                    <w:bottom w:val="nil"/>
                    <w:right w:val="nil"/>
                  </w:tcBorders>
                  <w:vAlign w:val="center"/>
                  <w:hideMark/>
                </w:tcPr>
                <w:p w:rsidR="00713C92" w:rsidRPr="00713C92" w:rsidRDefault="00713C92" w:rsidP="00713C92">
                  <w:pPr>
                    <w:framePr w:hSpace="45" w:vSpace="150" w:wrap="around" w:vAnchor="text" w:hAnchor="text"/>
                    <w:spacing w:after="0" w:line="240" w:lineRule="auto"/>
                    <w:textAlignment w:val="baseline"/>
                    <w:outlineLvl w:val="4"/>
                    <w:rPr>
                      <w:rFonts w:ascii="Times New Roman" w:eastAsia="Times New Roman" w:hAnsi="Times New Roman" w:cs="Times New Roman"/>
                      <w:b/>
                      <w:bCs/>
                      <w:sz w:val="28"/>
                      <w:szCs w:val="28"/>
                      <w:lang w:eastAsia="hr-HR"/>
                    </w:rPr>
                  </w:pPr>
                  <w:r w:rsidRPr="00713C92">
                    <w:rPr>
                      <w:rFonts w:ascii="Minion Pro" w:eastAsia="Times New Roman" w:hAnsi="Minion Pro" w:cs="Times New Roman"/>
                      <w:b/>
                      <w:bCs/>
                      <w:sz w:val="24"/>
                      <w:szCs w:val="24"/>
                      <w:bdr w:val="none" w:sz="0" w:space="0" w:color="auto" w:frame="1"/>
                      <w:lang w:eastAsia="hr-HR"/>
                    </w:rPr>
                    <w:t>Prilog 8.</w:t>
                  </w:r>
                </w:p>
              </w:tc>
            </w:tr>
          </w:tbl>
          <w:p w:rsidR="00713C92" w:rsidRPr="00713C92" w:rsidRDefault="00713C92" w:rsidP="00713C92">
            <w:pPr>
              <w:spacing w:after="0" w:line="240" w:lineRule="auto"/>
              <w:rPr>
                <w:rFonts w:ascii="Minion Pro" w:eastAsia="Times New Roman" w:hAnsi="Minion Pro" w:cs="Times New Roman"/>
                <w:sz w:val="20"/>
                <w:szCs w:val="20"/>
                <w:lang w:eastAsia="hr-HR"/>
              </w:rPr>
            </w:pPr>
            <w:r w:rsidRPr="00713C92">
              <w:rPr>
                <w:rFonts w:ascii="Minion Pro" w:eastAsia="Times New Roman" w:hAnsi="Minion Pro" w:cs="Times New Roman"/>
                <w:sz w:val="20"/>
                <w:szCs w:val="20"/>
                <w:lang w:eastAsia="hr-HR"/>
              </w:rPr>
              <w:t> </w:t>
            </w:r>
          </w:p>
        </w:tc>
      </w:tr>
    </w:tbl>
    <w:p w:rsidR="00713C92" w:rsidRPr="00713C92" w:rsidRDefault="00713C92" w:rsidP="00713C92">
      <w:pPr>
        <w:spacing w:after="0" w:line="240" w:lineRule="auto"/>
        <w:textAlignment w:val="baseline"/>
        <w:rPr>
          <w:rFonts w:ascii="Minion Pro" w:eastAsia="Times New Roman" w:hAnsi="Minion Pro" w:cs="Times New Roman"/>
          <w:color w:val="000000"/>
          <w:sz w:val="24"/>
          <w:szCs w:val="24"/>
          <w:lang w:eastAsia="hr-HR"/>
        </w:rPr>
      </w:pPr>
      <w:r w:rsidRPr="00713C92">
        <w:rPr>
          <w:rFonts w:ascii="Minion Pro" w:eastAsia="Times New Roman" w:hAnsi="Minion Pro"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tbl>
      <w:tblPr>
        <w:tblpPr w:leftFromText="45" w:rightFromText="45" w:topFromText="150" w:bottomFromText="300" w:vertAnchor="text"/>
        <w:tblW w:w="0" w:type="auto"/>
        <w:tblCellSpacing w:w="0" w:type="dxa"/>
        <w:tblCellMar>
          <w:left w:w="0" w:type="dxa"/>
          <w:right w:w="0" w:type="dxa"/>
        </w:tblCellMar>
        <w:tblLook w:val="04A0" w:firstRow="1" w:lastRow="0" w:firstColumn="1" w:lastColumn="0" w:noHBand="0" w:noVBand="1"/>
      </w:tblPr>
      <w:tblGrid>
        <w:gridCol w:w="630"/>
        <w:gridCol w:w="7245"/>
      </w:tblGrid>
      <w:tr w:rsidR="00713C92" w:rsidRPr="00713C92" w:rsidTr="00713C92">
        <w:trPr>
          <w:gridAfter w:val="1"/>
          <w:wAfter w:w="7245" w:type="dxa"/>
          <w:tblCellSpacing w:w="0" w:type="dxa"/>
        </w:trPr>
        <w:tc>
          <w:tcPr>
            <w:tcW w:w="630" w:type="dxa"/>
            <w:tcBorders>
              <w:top w:val="nil"/>
              <w:left w:val="nil"/>
              <w:bottom w:val="nil"/>
              <w:right w:val="nil"/>
            </w:tcBorders>
            <w:vAlign w:val="center"/>
            <w:hideMark/>
          </w:tcPr>
          <w:p w:rsidR="00713C92" w:rsidRPr="00713C92" w:rsidRDefault="00713C92" w:rsidP="00713C92">
            <w:pPr>
              <w:spacing w:after="0" w:line="240" w:lineRule="auto"/>
              <w:rPr>
                <w:rFonts w:ascii="Times New Roman" w:eastAsia="Times New Roman" w:hAnsi="Times New Roman" w:cs="Times New Roman"/>
                <w:color w:val="000000"/>
                <w:sz w:val="24"/>
                <w:szCs w:val="24"/>
                <w:lang w:eastAsia="hr-HR"/>
              </w:rPr>
            </w:pPr>
          </w:p>
        </w:tc>
      </w:tr>
      <w:tr w:rsidR="00713C92" w:rsidRPr="00713C92" w:rsidTr="00713C92">
        <w:trPr>
          <w:trHeight w:val="1020"/>
          <w:tblCellSpacing w:w="0" w:type="dxa"/>
        </w:trPr>
        <w:tc>
          <w:tcPr>
            <w:tcW w:w="0" w:type="auto"/>
            <w:tcBorders>
              <w:top w:val="nil"/>
              <w:left w:val="nil"/>
              <w:bottom w:val="nil"/>
              <w:right w:val="nil"/>
            </w:tcBorders>
            <w:vAlign w:val="center"/>
            <w:hideMark/>
          </w:tcPr>
          <w:p w:rsidR="00713C92" w:rsidRPr="00713C92" w:rsidRDefault="00713C92" w:rsidP="00713C92">
            <w:pPr>
              <w:spacing w:after="0" w:line="240" w:lineRule="auto"/>
              <w:rPr>
                <w:rFonts w:ascii="Times New Roman" w:eastAsia="Times New Roman" w:hAnsi="Times New Roman" w:cs="Times New Roman"/>
                <w:sz w:val="20"/>
                <w:szCs w:val="20"/>
                <w:lang w:eastAsia="hr-HR"/>
              </w:rPr>
            </w:pPr>
          </w:p>
        </w:tc>
        <w:tc>
          <w:tcPr>
            <w:tcW w:w="7245" w:type="dxa"/>
            <w:tcBorders>
              <w:top w:val="single" w:sz="6" w:space="0" w:color="FFFFFF"/>
              <w:left w:val="single" w:sz="6" w:space="0" w:color="FFFFFF"/>
              <w:bottom w:val="single" w:sz="6" w:space="0" w:color="FFFFFF"/>
              <w:right w:val="single" w:sz="6" w:space="0" w:color="FFFFFF"/>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215"/>
            </w:tblGrid>
            <w:tr w:rsidR="00713C92" w:rsidRPr="00713C92">
              <w:trPr>
                <w:tblCellSpacing w:w="0" w:type="dxa"/>
              </w:trPr>
              <w:tc>
                <w:tcPr>
                  <w:tcW w:w="0" w:type="auto"/>
                  <w:tcBorders>
                    <w:top w:val="nil"/>
                    <w:left w:val="nil"/>
                    <w:bottom w:val="nil"/>
                    <w:right w:val="nil"/>
                  </w:tcBorders>
                  <w:vAlign w:val="center"/>
                  <w:hideMark/>
                </w:tcPr>
                <w:p w:rsidR="00713C92" w:rsidRPr="00713C92" w:rsidRDefault="00713C92" w:rsidP="00713C92">
                  <w:pPr>
                    <w:framePr w:hSpace="45" w:vSpace="150" w:wrap="around" w:vAnchor="text" w:hAnchor="text"/>
                    <w:spacing w:after="0" w:line="240" w:lineRule="auto"/>
                    <w:jc w:val="center"/>
                    <w:textAlignment w:val="baseline"/>
                    <w:outlineLvl w:val="4"/>
                    <w:rPr>
                      <w:rFonts w:ascii="Times New Roman" w:eastAsia="Times New Roman" w:hAnsi="Times New Roman" w:cs="Times New Roman"/>
                      <w:b/>
                      <w:bCs/>
                      <w:sz w:val="28"/>
                      <w:szCs w:val="28"/>
                      <w:lang w:eastAsia="hr-HR"/>
                    </w:rPr>
                  </w:pPr>
                  <w:r w:rsidRPr="00713C92">
                    <w:rPr>
                      <w:rFonts w:ascii="Minion Pro" w:eastAsia="Times New Roman" w:hAnsi="Minion Pro" w:cs="Times New Roman"/>
                      <w:b/>
                      <w:bCs/>
                      <w:sz w:val="24"/>
                      <w:szCs w:val="24"/>
                      <w:bdr w:val="none" w:sz="0" w:space="0" w:color="auto" w:frame="1"/>
                      <w:lang w:eastAsia="hr-HR"/>
                    </w:rPr>
                    <w:t>UVJETI U POGLEDU MEDICINSKO -TEHNIČKE OPREME CESTOVNIH VOZILA ZA PRIJEVOZ</w:t>
                  </w:r>
                </w:p>
                <w:p w:rsidR="00713C92" w:rsidRPr="00713C92" w:rsidRDefault="00713C92" w:rsidP="00713C92">
                  <w:pPr>
                    <w:framePr w:hSpace="45" w:vSpace="150" w:wrap="around" w:vAnchor="text" w:hAnchor="text"/>
                    <w:spacing w:after="0" w:line="240" w:lineRule="auto"/>
                    <w:jc w:val="center"/>
                    <w:textAlignment w:val="baseline"/>
                    <w:outlineLvl w:val="4"/>
                    <w:rPr>
                      <w:rFonts w:ascii="Times New Roman" w:eastAsia="Times New Roman" w:hAnsi="Times New Roman" w:cs="Times New Roman"/>
                      <w:b/>
                      <w:bCs/>
                      <w:sz w:val="28"/>
                      <w:szCs w:val="28"/>
                      <w:lang w:eastAsia="hr-HR"/>
                    </w:rPr>
                  </w:pPr>
                  <w:r w:rsidRPr="00713C92">
                    <w:rPr>
                      <w:rFonts w:ascii="Minion Pro" w:eastAsia="Times New Roman" w:hAnsi="Minion Pro" w:cs="Times New Roman"/>
                      <w:b/>
                      <w:bCs/>
                      <w:sz w:val="24"/>
                      <w:szCs w:val="24"/>
                      <w:bdr w:val="none" w:sz="0" w:space="0" w:color="auto" w:frame="1"/>
                      <w:lang w:eastAsia="hr-HR"/>
                    </w:rPr>
                    <w:t>U IZVANBOLNIČKOJ HITNOJ MEDICINSKOJ POMOĆI</w:t>
                  </w:r>
                </w:p>
              </w:tc>
            </w:tr>
          </w:tbl>
          <w:p w:rsidR="00713C92" w:rsidRPr="00713C92" w:rsidRDefault="00713C92" w:rsidP="00713C92">
            <w:pPr>
              <w:spacing w:after="0" w:line="240" w:lineRule="auto"/>
              <w:rPr>
                <w:rFonts w:ascii="Minion Pro" w:eastAsia="Times New Roman" w:hAnsi="Minion Pro" w:cs="Times New Roman"/>
                <w:sz w:val="20"/>
                <w:szCs w:val="20"/>
                <w:lang w:eastAsia="hr-HR"/>
              </w:rPr>
            </w:pPr>
            <w:r w:rsidRPr="00713C92">
              <w:rPr>
                <w:rFonts w:ascii="Minion Pro" w:eastAsia="Times New Roman" w:hAnsi="Minion Pro" w:cs="Times New Roman"/>
                <w:sz w:val="20"/>
                <w:szCs w:val="20"/>
                <w:lang w:eastAsia="hr-HR"/>
              </w:rPr>
              <w:t> </w:t>
            </w:r>
          </w:p>
        </w:tc>
      </w:tr>
    </w:tbl>
    <w:p w:rsidR="00713C92" w:rsidRPr="00713C92" w:rsidRDefault="00713C92" w:rsidP="00713C92">
      <w:pPr>
        <w:spacing w:after="0" w:line="240" w:lineRule="auto"/>
        <w:textAlignment w:val="baseline"/>
        <w:rPr>
          <w:rFonts w:ascii="Minion Pro" w:eastAsia="Times New Roman" w:hAnsi="Minion Pro" w:cs="Times New Roman"/>
          <w:color w:val="000000"/>
          <w:sz w:val="24"/>
          <w:szCs w:val="24"/>
          <w:lang w:eastAsia="hr-HR"/>
        </w:rPr>
      </w:pPr>
      <w:r w:rsidRPr="00713C92">
        <w:rPr>
          <w:rFonts w:ascii="Minion Pro" w:eastAsia="Times New Roman" w:hAnsi="Minion Pro"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bdr w:val="none" w:sz="0" w:space="0" w:color="auto" w:frame="1"/>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bdr w:val="none" w:sz="0" w:space="0" w:color="auto" w:frame="1"/>
          <w:lang w:eastAsia="hr-HR"/>
        </w:rPr>
        <w:t> </w:t>
      </w:r>
    </w:p>
    <w:p w:rsidR="00713C92" w:rsidRPr="00713C92" w:rsidRDefault="00713C92" w:rsidP="00713C92">
      <w:pPr>
        <w:spacing w:after="0" w:line="240" w:lineRule="auto"/>
        <w:textAlignment w:val="baseline"/>
        <w:rPr>
          <w:rFonts w:ascii="Minion Pro" w:eastAsia="Times New Roman" w:hAnsi="Minion Pro" w:cs="Times New Roman"/>
          <w:color w:val="000000"/>
          <w:sz w:val="24"/>
          <w:szCs w:val="24"/>
          <w:lang w:eastAsia="hr-HR"/>
        </w:rPr>
      </w:pPr>
      <w:r w:rsidRPr="00713C92">
        <w:rPr>
          <w:rFonts w:ascii="Minion Pro" w:eastAsia="Times New Roman" w:hAnsi="Minion Pro" w:cs="Times New Roman"/>
          <w:color w:val="000000"/>
          <w:sz w:val="24"/>
          <w:szCs w:val="24"/>
          <w:lang w:eastAsia="hr-HR"/>
        </w:rPr>
        <w:br w:type="textWrapping" w:clear="all"/>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bdr w:val="none" w:sz="0" w:space="0" w:color="auto" w:frame="1"/>
          <w:lang w:eastAsia="hr-HR"/>
        </w:rPr>
        <w:t>1. Medicinska oprema vozila za hitnu medicinsku pomoć</w:t>
      </w:r>
    </w:p>
    <w:p w:rsidR="00713C92" w:rsidRPr="00713C92" w:rsidRDefault="00713C92" w:rsidP="00713C92">
      <w:pPr>
        <w:spacing w:after="0" w:line="240" w:lineRule="auto"/>
        <w:jc w:val="center"/>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1.1. Liječnička torba/kovčeg</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Materijal vanjske obloge: eloksirani aluminij ili plastična masa otporna na mehanička</w:t>
      </w:r>
    </w:p>
    <w:p w:rsidR="00713C92" w:rsidRPr="00713C92" w:rsidRDefault="00713C92" w:rsidP="00713C92">
      <w:pPr>
        <w:spacing w:after="0" w:line="240" w:lineRule="auto"/>
        <w:ind w:left="2160" w:firstLine="392"/>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oštećenja.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Poželjna veličina: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širina 42 - 52 cm, visina 30 - 36 cm, dubina 15 - 17 cm.</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Težina primjerena čestom prijenosu.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Unutrašnjost:</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prostor za smještaj opreme i pribora izveden sa stalnim i/ili promjenljivim pregradama.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Minimalni sadržaj:</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oprema za dijagnostiku (tlakomjer s manžetama za odrasle i za djecu, slušalice, neurološki</w:t>
      </w:r>
    </w:p>
    <w:p w:rsidR="00713C92" w:rsidRPr="00713C92" w:rsidRDefault="00713C92" w:rsidP="00713C92">
      <w:pPr>
        <w:spacing w:after="0" w:line="240" w:lineRule="auto"/>
        <w:ind w:firstLine="255"/>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čekić, svjetiljka za pregled pupile, termometar)</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ampulirani lijekovi (ampularij za pregledan, siguran smještaj i brzo vađenje 40 - 50</w:t>
      </w:r>
    </w:p>
    <w:p w:rsidR="00713C92" w:rsidRPr="00713C92" w:rsidRDefault="00713C92" w:rsidP="00713C92">
      <w:pPr>
        <w:spacing w:after="0" w:line="240" w:lineRule="auto"/>
        <w:ind w:left="255" w:firstLine="465"/>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ampula)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pribor za primjenu ampuliranih lijekova (štrcaljke za jednokratnu uporabu, igle,</w:t>
      </w: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ind w:left="255" w:firstLine="465"/>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poveska, komprese od gaze,</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dezinfekcijsko sredstvo i sl.)</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lijekovi za peroralnu uporabu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pribor za standardnu zaštitu od infekcija (rukavice, maske, naočale)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1.2. Torba/kovčeg medicinske sestre/medicinskog tehničara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ind w:left="2880" w:hanging="288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Materijal za vanjske obloge: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eloksirani aluminij ili plastična masa otporna na mehanička oštećenja ili najlonsko nepropusno platno visoke otpornosti.</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Težina i veličina primjerene čestom prijenosu i smještaju u malom prostoru.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Minimalni sadržaj:</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sanitetski materijal (zavoji, gaze, ljepljive vrpce, mrežice, zavoj za opekline i sl.)</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komplet zavoja za hlađenje opeklina (npr. Burn Kit)</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poveske za hemostazu kod traumatske amputacije ekstremiteta i plastične vrećice</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raznih veličina za smještaj traumatskih amputiranih</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dijelova tijela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pribor za standardnu zaštitu od infekcija (rukavice, maske, naočale)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ostalo (škare, pincete, baterijska svjetiljka, folija za zaštitu od pothlađivanja i</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pregrijavanja, folija za prekrivanje i sl.)</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tlakomjer,slušalice,termometar</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lastRenderedPageBreak/>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1.3. Torba/kovčeg za reanimaciju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Prostor za smještaj opreme i pribora izveden sa stalnim i/ili promjenljivim pregradama.</w:t>
      </w:r>
    </w:p>
    <w:p w:rsidR="00713C92" w:rsidRPr="00713C92" w:rsidRDefault="00713C92" w:rsidP="00713C92">
      <w:pPr>
        <w:spacing w:after="0" w:line="240" w:lineRule="auto"/>
        <w:ind w:left="2880" w:hanging="288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Materijal vanjske obloge:</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eloksirani aluminij ili plastična masa otporna na mehanička oštećenja.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Težina i veličina primjerene čestom prijenosu i smještaju u mali prostor.</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Sadržaj:</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samošireći balon s rezervoarom i odgovarajućom valvulom te prozirnim maskama</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(u</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veličinama za djecu i odrasle)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prijenosi sistem za isporuku kisika s odgovarajućim priborom primjerenim djeci i</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odraslima: </w:t>
      </w:r>
      <w:r w:rsidRPr="00713C92">
        <w:rPr>
          <w:rFonts w:ascii="Minion Pro" w:eastAsia="Times New Roman" w:hAnsi="Minion Pro" w:cs="Times New Roman"/>
          <w:color w:val="000000"/>
          <w:bdr w:val="none" w:sz="0" w:space="0" w:color="auto" w:frame="1"/>
          <w:lang w:eastAsia="hr-HR"/>
        </w:rPr>
        <w:t>manometar, mjerač protoka, nosni kateter, maske s rezervoarom tzv. Ohio maske,</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bdr w:val="none" w:sz="0" w:space="0" w:color="auto" w:frame="1"/>
          <w:lang w:eastAsia="hr-HR"/>
        </w:rPr>
        <w:t>mogućnost pogona crpke za sukciju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inhalator (nebulizator)</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orofaringealni tubusi u veličinama od 000 - 5</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nazofaringealni tubusi u veličinama za djecu i odrasle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oprema i pribor za endotrahealnu intubaciju (za djecu i odrasle): </w:t>
      </w:r>
      <w:r w:rsidRPr="00713C92">
        <w:rPr>
          <w:rFonts w:ascii="Minion Pro" w:eastAsia="Times New Roman" w:hAnsi="Minion Pro" w:cs="Times New Roman"/>
          <w:color w:val="000000"/>
          <w:bdr w:val="none" w:sz="0" w:space="0" w:color="auto" w:frame="1"/>
          <w:lang w:eastAsia="hr-HR"/>
        </w:rPr>
        <w:t>endotrahealni tubusi veličine</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bdr w:val="none" w:sz="0" w:space="0" w:color="auto" w:frame="1"/>
          <w:lang w:eastAsia="hr-HR"/>
        </w:rPr>
        <w:t> od 3 – 9, vodilica za tubus u 2 veličine, laringoskop sa spatulama odgovarajuće veličine i oblika, ezofagealni detektor (npr. «check tube»), tzv. gumeni klin, štrcaljka za jednokratnu upotrebu a 10 mL, platnena traka ili držač tubusa, rezervne baterije za laringoskop</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crpka za sukciju s priborom (mogućnost pogona rukom ili nogom,</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putem prijenosnog</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sistema za isporuku kisika ili električnim</w:t>
      </w:r>
      <w:r w:rsidRPr="00713C92">
        <w:rPr>
          <w:rFonts w:ascii="Minion Pro" w:eastAsia="Times New Roman" w:hAnsi="Minion Pro" w:cs="Times New Roman"/>
          <w:color w:val="000000"/>
          <w:bdr w:val="none" w:sz="0" w:space="0" w:color="auto" w:frame="1"/>
          <w:lang w:eastAsia="hr-HR"/>
        </w:rPr>
        <w:t>),mekani kateteri za sukciju u različitim veličinama za djecu i odrasle,posebno za sukciju novorođenčeta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Magillova hvataljka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pean</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infuzijske otopine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pribor za infuziju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sistem za doziranje infuzije (za djecu i odrasle)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pribor za uspostavu venskoga puta: </w:t>
      </w:r>
      <w:r w:rsidRPr="00713C92">
        <w:rPr>
          <w:rFonts w:ascii="Minion Pro" w:eastAsia="Times New Roman" w:hAnsi="Minion Pro" w:cs="Times New Roman"/>
          <w:i/>
          <w:iCs/>
          <w:color w:val="000000"/>
          <w:sz w:val="20"/>
          <w:szCs w:val="20"/>
          <w:bdr w:val="none" w:sz="0" w:space="0" w:color="auto" w:frame="1"/>
          <w:lang w:eastAsia="hr-HR"/>
        </w:rPr>
        <w:t>venile 12G – 18G za odrasle,</w:t>
      </w: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i/>
          <w:iCs/>
          <w:color w:val="000000"/>
          <w:sz w:val="20"/>
          <w:szCs w:val="20"/>
          <w:bdr w:val="none" w:sz="0" w:space="0" w:color="auto" w:frame="1"/>
          <w:lang w:eastAsia="hr-HR"/>
        </w:rPr>
        <w:t>venile 18 G – 25G za djecu,</w:t>
      </w: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i/>
          <w:iCs/>
          <w:color w:val="000000"/>
          <w:sz w:val="20"/>
          <w:szCs w:val="20"/>
          <w:bdr w:val="none" w:sz="0" w:space="0" w:color="auto" w:frame="1"/>
          <w:lang w:eastAsia="hr-HR"/>
        </w:rPr>
        <w:t>baby</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0"/>
          <w:szCs w:val="20"/>
          <w:bdr w:val="none" w:sz="0" w:space="0" w:color="auto" w:frame="1"/>
          <w:lang w:eastAsia="hr-HR"/>
        </w:rPr>
        <w:t>   sistem</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komplet za uzimanje uzorka krvi</w:t>
      </w: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komplet pribora za porod</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komplet pribora za konikotomiju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pribor za ispiranje želuca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Dodatna moguća oprema</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laringealne maske u veličinama za djecu i odrasle i /ili kombinirani tubus</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pribor za torakalnu drenažu</w:t>
      </w: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intraosalna igla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1.4.</w:t>
      </w:r>
      <w:r w:rsidRPr="00713C92">
        <w:rPr>
          <w:rFonts w:ascii="Minion Pro" w:eastAsia="Times New Roman" w:hAnsi="Minion Pro" w:cs="Times New Roman"/>
          <w:i/>
          <w:iCs/>
          <w:color w:val="000000"/>
          <w:sz w:val="24"/>
          <w:szCs w:val="24"/>
          <w:bdr w:val="none" w:sz="0" w:space="0" w:color="auto" w:frame="1"/>
          <w:lang w:eastAsia="hr-HR"/>
        </w:rPr>
        <w:t>  </w:t>
      </w:r>
      <w:r w:rsidRPr="00713C92">
        <w:rPr>
          <w:rFonts w:ascii="Minion Pro" w:eastAsia="Times New Roman" w:hAnsi="Minion Pro" w:cs="Times New Roman"/>
          <w:i/>
          <w:iCs/>
          <w:color w:val="000000"/>
          <w:sz w:val="24"/>
          <w:szCs w:val="24"/>
          <w:lang w:eastAsia="hr-HR"/>
        </w:rPr>
        <w:t>Prijenosni EKG monitor / defibrilator / transkutani elektrostimulator s</w:t>
      </w:r>
    </w:p>
    <w:p w:rsidR="00713C92" w:rsidRPr="00713C92" w:rsidRDefault="00713C92" w:rsidP="00713C92">
      <w:pPr>
        <w:spacing w:after="0" w:line="240" w:lineRule="auto"/>
        <w:ind w:left="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mogućnošću snimanja 12- kanalnoga EKG-a</w:t>
      </w:r>
    </w:p>
    <w:p w:rsidR="00713C92" w:rsidRPr="00713C92" w:rsidRDefault="00713C92" w:rsidP="00713C92">
      <w:pPr>
        <w:spacing w:after="0" w:line="240" w:lineRule="auto"/>
        <w:ind w:left="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 </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standardne, samoljepljive elektrode za defibrilaciju i elektrostimulaciju za djecu i odrasle</w:t>
      </w:r>
    </w:p>
    <w:p w:rsidR="00713C92" w:rsidRPr="00713C92" w:rsidRDefault="00713C92" w:rsidP="00713C92">
      <w:pPr>
        <w:spacing w:after="0" w:line="240" w:lineRule="auto"/>
        <w:ind w:left="360" w:hanging="360"/>
        <w:jc w:val="both"/>
        <w:textAlignment w:val="baseline"/>
        <w:rPr>
          <w:rFonts w:ascii="Arial CRO" w:eastAsia="Times New Roman" w:hAnsi="Arial CRO" w:cs="Times New Roman"/>
          <w:i/>
          <w:iCs/>
          <w:color w:val="000000"/>
          <w:sz w:val="20"/>
          <w:szCs w:val="20"/>
          <w:lang w:eastAsia="hr-HR"/>
        </w:rPr>
      </w:pPr>
      <w:r w:rsidRPr="00713C92">
        <w:rPr>
          <w:rFonts w:ascii="Times New Roman" w:eastAsia="Times New Roman" w:hAnsi="Times New Roman" w:cs="Times New Roman"/>
          <w:color w:val="000000"/>
          <w:sz w:val="24"/>
          <w:szCs w:val="24"/>
          <w:bdr w:val="none" w:sz="0" w:space="0" w:color="auto" w:frame="1"/>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bdr w:val="none" w:sz="0" w:space="0" w:color="auto" w:frame="1"/>
          <w:lang w:eastAsia="hr-HR"/>
        </w:rPr>
        <w:t>napajanje: ugrađena akumulatorska baterija / baterije, akumulator vozila (12 V), električna mreža (220 V; 50 Hz)</w:t>
      </w:r>
    </w:p>
    <w:p w:rsidR="00713C92" w:rsidRPr="00713C92" w:rsidRDefault="00713C92" w:rsidP="00713C92">
      <w:pPr>
        <w:spacing w:after="0" w:line="240" w:lineRule="auto"/>
        <w:ind w:left="360" w:hanging="360"/>
        <w:jc w:val="both"/>
        <w:textAlignment w:val="baseline"/>
        <w:rPr>
          <w:rFonts w:ascii="Arial CRO" w:eastAsia="Times New Roman" w:hAnsi="Arial CRO" w:cs="Times New Roman"/>
          <w:i/>
          <w:iCs/>
          <w:color w:val="000000"/>
          <w:sz w:val="20"/>
          <w:szCs w:val="20"/>
          <w:lang w:eastAsia="hr-HR"/>
        </w:rPr>
      </w:pPr>
      <w:r w:rsidRPr="00713C92">
        <w:rPr>
          <w:rFonts w:ascii="Times New Roman" w:eastAsia="Times New Roman" w:hAnsi="Times New Roman" w:cs="Times New Roman"/>
          <w:color w:val="000000"/>
          <w:sz w:val="24"/>
          <w:szCs w:val="24"/>
          <w:bdr w:val="none" w:sz="0" w:space="0" w:color="auto" w:frame="1"/>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bdr w:val="none" w:sz="0" w:space="0" w:color="auto" w:frame="1"/>
          <w:lang w:eastAsia="hr-HR"/>
        </w:rPr>
        <w:t>rezervne baterije</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mogućnost rada pod utjecajem: promjenjive temperature i vlažnosti, promjenjivog atmosferskog tlaka, vibracija, emisije elektromagnetskih valova</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lastRenderedPageBreak/>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otpornost na mehanička oštećenja.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Težina i veličina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primjerene čestom prijenosu i smještaju u mali prostor.</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1.5. Crpka za sukciju većeg kapaciteta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 </w:t>
      </w:r>
    </w:p>
    <w:p w:rsidR="00713C92" w:rsidRPr="00713C92" w:rsidRDefault="00713C92" w:rsidP="00713C92">
      <w:pPr>
        <w:spacing w:after="0" w:line="240" w:lineRule="auto"/>
        <w:jc w:val="both"/>
        <w:textAlignment w:val="baseline"/>
        <w:rPr>
          <w:rFonts w:ascii="Arial CRO" w:eastAsia="Times New Roman" w:hAnsi="Arial CRO" w:cs="Times New Roman"/>
          <w:i/>
          <w:iCs/>
          <w:color w:val="000000"/>
          <w:sz w:val="20"/>
          <w:szCs w:val="20"/>
          <w:lang w:eastAsia="hr-HR"/>
        </w:rPr>
      </w:pPr>
      <w:r w:rsidRPr="00713C92">
        <w:rPr>
          <w:rFonts w:ascii="Times New Roman" w:eastAsia="Times New Roman" w:hAnsi="Times New Roman" w:cs="Times New Roman"/>
          <w:color w:val="000000"/>
          <w:sz w:val="24"/>
          <w:szCs w:val="24"/>
          <w:bdr w:val="none" w:sz="0" w:space="0" w:color="auto" w:frame="1"/>
          <w:lang w:eastAsia="hr-HR"/>
        </w:rPr>
        <w:t>- napajanje: akumulatorska baterija / baterije, akumulator vozila (12 V), električna mreža (220 V; 50 Hz)</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1.6. Prijenosni pulsni oksimetar</w:t>
      </w:r>
      <w:r w:rsidRPr="00713C92">
        <w:rPr>
          <w:rFonts w:ascii="Minion Pro" w:eastAsia="Times New Roman" w:hAnsi="Minion Pro" w:cs="Times New Roman"/>
          <w:b/>
          <w:bCs/>
          <w:i/>
          <w:iCs/>
          <w:color w:val="000000"/>
          <w:sz w:val="24"/>
          <w:szCs w:val="24"/>
          <w:lang w:eastAsia="hr-HR"/>
        </w:rPr>
        <w:t> </w:t>
      </w:r>
      <w:r w:rsidRPr="00713C92">
        <w:rPr>
          <w:rFonts w:ascii="Minion Pro" w:eastAsia="Times New Roman" w:hAnsi="Minion Pro" w:cs="Times New Roman"/>
          <w:i/>
          <w:iCs/>
          <w:color w:val="000000"/>
          <w:sz w:val="24"/>
          <w:szCs w:val="24"/>
          <w:bdr w:val="none" w:sz="0" w:space="0" w:color="auto" w:frame="1"/>
          <w:lang w:eastAsia="hr-HR"/>
        </w:rPr>
        <w:t>(sa senzorom i za djecu)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1.7. Glukometar</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1.8. Aparat za kontinuiranu primjenu infuzijskih otopina i lijekova (infuzomat)</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1.9. Grijač infuzija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1.10. Prsluk za imobilizaciju i izvlačenje </w:t>
      </w:r>
      <w:r w:rsidRPr="00713C92">
        <w:rPr>
          <w:rFonts w:ascii="Minion Pro" w:eastAsia="Times New Roman" w:hAnsi="Minion Pro" w:cs="Times New Roman"/>
          <w:i/>
          <w:iCs/>
          <w:color w:val="000000"/>
          <w:sz w:val="24"/>
          <w:szCs w:val="24"/>
          <w:bdr w:val="none" w:sz="0" w:space="0" w:color="auto" w:frame="1"/>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1.11. Daske za imobilizaciju i izvlačenje s bočnim fiksatorima glave i remenjem za</w:t>
      </w:r>
    </w:p>
    <w:p w:rsidR="00713C92" w:rsidRPr="00713C92" w:rsidRDefault="00713C92" w:rsidP="00713C92">
      <w:pPr>
        <w:spacing w:after="0" w:line="240" w:lineRule="auto"/>
        <w:ind w:left="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pričvršćivanje </w:t>
      </w:r>
      <w:r w:rsidRPr="00713C92">
        <w:rPr>
          <w:rFonts w:ascii="Minion Pro" w:eastAsia="Times New Roman" w:hAnsi="Minion Pro" w:cs="Times New Roman"/>
          <w:i/>
          <w:iCs/>
          <w:color w:val="000000"/>
          <w:sz w:val="24"/>
          <w:szCs w:val="24"/>
          <w:bdr w:val="none" w:sz="0" w:space="0" w:color="auto" w:frame="1"/>
          <w:lang w:eastAsia="hr-HR"/>
        </w:rPr>
        <w:t>(za odrasle i djecu)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1.12. Rasklopna nosila (tzv. nosila za politraumu )</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pripadajući pribor,</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mogućnost uporabe u vodi,</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nosila se rasklapaju po uzdužnoj osovini, promjenjiva dužina.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1.13. Vakuum madrac sa ručnom crpkom</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najmanje dužine 180 cm</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1.14. Set okovratnika za imobilizaciju vratne kralježnice</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po 3 različite veličine za djecu i odrasle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1.15. Udlage za imobilizaciju</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veličinom primjerene djeci i odraslima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1.16. Platnena nosila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Moguća dodatna oprema:</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prijenosni respirator</w:t>
      </w:r>
      <w:r w:rsidRPr="00713C92">
        <w:rPr>
          <w:rFonts w:ascii="Minion Pro" w:eastAsia="Times New Roman" w:hAnsi="Minion Pro" w:cs="Times New Roman"/>
          <w:b/>
          <w:bCs/>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(mogućnost korištenja u odraslih i djece)</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prijenosni kapnometar</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2. Tehnička oprema vozila za hitnu medicinsku pomoć</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ind w:left="360" w:hanging="360"/>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elektronska sirena smještena na prednjem dijelu krova vozila</w:t>
      </w:r>
    </w:p>
    <w:p w:rsidR="00713C92" w:rsidRPr="00713C92" w:rsidRDefault="00713C92" w:rsidP="00713C92">
      <w:pPr>
        <w:spacing w:after="0" w:line="240" w:lineRule="auto"/>
        <w:ind w:left="360" w:hanging="360"/>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tri plava rotacijska svjetla (dva smještena na prednjem dijelu krova i jedno na zadnjem</w:t>
      </w:r>
    </w:p>
    <w:p w:rsidR="00713C92" w:rsidRPr="00713C92" w:rsidRDefault="00713C92" w:rsidP="00713C92">
      <w:pPr>
        <w:spacing w:after="0" w:line="240" w:lineRule="auto"/>
        <w:ind w:left="-360" w:firstLine="720"/>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dijelu krova)</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krovni ventilator smjer okretanja lijevo - desno</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sustav radio veze</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priprema električne instalacije za priključak mobilnih telefona</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unutarnje obloge bolesničkog prostora za bočne stijene, krov i vrata</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podna obloga od neklizajućeg materijala, otporna na sredstva za pranje i</w:t>
      </w:r>
    </w:p>
    <w:p w:rsidR="00713C92" w:rsidRPr="00713C92" w:rsidRDefault="00713C92" w:rsidP="00713C92">
      <w:pPr>
        <w:spacing w:after="0" w:line="240" w:lineRule="auto"/>
        <w:ind w:left="-360" w:firstLine="72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dezinfekciju i na mehanička oštećenja,negoriva</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ostale obloge od plastičnog materijala, otporne na sredstva za pranje i</w:t>
      </w:r>
    </w:p>
    <w:p w:rsidR="00713C92" w:rsidRPr="00713C92" w:rsidRDefault="00713C92" w:rsidP="00713C92">
      <w:pPr>
        <w:spacing w:after="0" w:line="240" w:lineRule="auto"/>
        <w:ind w:left="-360" w:firstLine="72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dezinfekciju i na mehanička oštećenja,negoriva</w:t>
      </w: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termički izolirane bočne i krovne obloge</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flourencentna rasvjeta za dodatno osvjetljenje bolesničkog prostora</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pomični reflektor koji osvjetljava odabranu radnu površinu u bolesničkom prostoru</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utičnica napajanja 12 V (DC)</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utičnica napajanja 220 V</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lastRenderedPageBreak/>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krovni nosači boca za infuziju (2 kom)</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centralni razvod kisika (podrazumijeva mogućnost inhalacije, sukcije i napajanja</w:t>
      </w: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ind w:left="-360" w:firstLine="72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medicinske opreme koja koristi kisik)</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podnožje boca za kisik u vozačkom prostoru (2 kom)</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boca za kisik zapremnine 10 L (2 kom) u prostoru vozača</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prostor izveden za smještaj odgovarajuće medicinske opreme</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kardiološka stolica sa sigurnosnim pojasom, sklopiva, smještena na desnoj strani</w:t>
      </w:r>
    </w:p>
    <w:p w:rsidR="00713C92" w:rsidRPr="00713C92" w:rsidRDefault="00713C92" w:rsidP="00713C92">
      <w:pPr>
        <w:spacing w:after="0" w:line="240" w:lineRule="auto"/>
        <w:ind w:left="-360" w:firstLine="72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pregradne stijene</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sjedalo učvršćeno na pregradnoj stijeni, postavljeno u produženju uzdužne osi glavnih</w:t>
      </w:r>
    </w:p>
    <w:p w:rsidR="00713C92" w:rsidRPr="00713C92" w:rsidRDefault="00713C92" w:rsidP="00713C92">
      <w:pPr>
        <w:spacing w:after="0" w:line="240" w:lineRule="auto"/>
        <w:ind w:left="-360" w:firstLine="72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nosila</w:t>
      </w:r>
    </w:p>
    <w:p w:rsidR="00713C92" w:rsidRPr="00713C92" w:rsidRDefault="00713C92" w:rsidP="00713C92">
      <w:pPr>
        <w:spacing w:after="0" w:line="240" w:lineRule="auto"/>
        <w:ind w:left="-360" w:firstLine="36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preklopna sjedala smještena na desnoj strani bolesničkog prostora (1-2 kom)</w:t>
      </w:r>
    </w:p>
    <w:p w:rsidR="00713C92" w:rsidRPr="00713C92" w:rsidRDefault="00713C92" w:rsidP="00713C92">
      <w:pPr>
        <w:spacing w:after="0" w:line="240" w:lineRule="auto"/>
        <w:ind w:left="-360" w:firstLine="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dodatna složiva nosila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glavna nosila samoutovarnog tipa </w:t>
      </w:r>
      <w:r w:rsidRPr="00713C92">
        <w:rPr>
          <w:rFonts w:ascii="Minion Pro" w:eastAsia="Times New Roman" w:hAnsi="Minion Pro" w:cs="Times New Roman"/>
          <w:color w:val="000000"/>
          <w:sz w:val="24"/>
          <w:szCs w:val="24"/>
          <w:bdr w:val="none" w:sz="0" w:space="0" w:color="auto" w:frame="1"/>
          <w:lang w:eastAsia="hr-HR"/>
        </w:rPr>
        <w:t>na preklopnim nogama s kotačima,</w:t>
      </w: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podloga ispod madraca</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izrađena od aluminijske ploče za potrebe oživljavanja, mogućnost fiksiranja bolesnika,</w:t>
      </w:r>
    </w:p>
    <w:p w:rsidR="00713C92" w:rsidRPr="00713C92" w:rsidRDefault="00713C92" w:rsidP="00713C92">
      <w:pPr>
        <w:spacing w:after="0" w:line="240" w:lineRule="auto"/>
        <w:ind w:left="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hvataljke na nosilima teleskopske ili preklopne, postolje nosila izvedeno tako da pomicanjem u raznim  smjerovima omogućuje nesmetan pristup i promjenu položaja  bolesnika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hvataljke za držanje iznad sjedala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sigurnosni automatski pojasevi za sva sjedala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prekidači za uključivanje dodatnoga unutarnjeg svijetla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Ostala oprema: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pokrivači i plahte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prijenosna svijetiljka veće svijetlosne snage (mogućnost punjenja baterija)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oprema za oslobađanje osoba iz vozila (jednostavna mehanička oprema)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uređaj za gašenje požara S-6 (prah 6 kg)</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zemljovid (prometni pravci s oznakama naselja i udaljenosti)</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školska kreda ili slično za obilježavanje položaja sudionika u prometnoj nezgodi</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posuda za dispoziciju kontaminiranog materijala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dozator sa sredstvom za dezinfekciju ruku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obrasci za vođenje medicinske i ostale dokumentacije</w:t>
      </w:r>
    </w:p>
    <w:p w:rsidR="00713C92" w:rsidRPr="00713C92" w:rsidRDefault="00713C92" w:rsidP="00713C92">
      <w:pPr>
        <w:spacing w:after="0" w:line="240" w:lineRule="auto"/>
        <w:ind w:left="72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3. Medicinska oprema vozila za hitni prijevoz</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3.1. Torba/kovčeg medicinskog tehničara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ind w:left="2880" w:hanging="288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Materijal vanjske obloge: </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eloksirani aluminij ili plastična masa otporna na mehanička oštećenja ili najlonsko nepropusno platno visoke otpornosti.</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Težina i veličina primjerene čestom prijenosu i smještaju u malom prostoru.</w:t>
      </w: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Minimalni sadržaj:</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sanitetski materijal (zavoji, gaze, ljepljive vrpce, mrežice, zavoj za opekline i sl.)</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komplet zavoja za hlađenje opeklina (npr. Burn Kit)</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poveske za hemostazu kod traumatske amputacije ekstremiteta i plastične vrećice</w:t>
      </w:r>
    </w:p>
    <w:p w:rsidR="00713C92" w:rsidRPr="00713C92" w:rsidRDefault="00713C92" w:rsidP="00713C92">
      <w:pPr>
        <w:spacing w:after="0" w:line="240" w:lineRule="auto"/>
        <w:ind w:firstLine="255"/>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raznih veličina za smještaj traumatskih amputiranih</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dijelova tijela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pribor za standardnu zaštitu od infekcija (rukavice, maske, naočale)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ostalo (škare, pincete, baterijska svjetiljka, folija za zaštitu od pothlađivanja i</w:t>
      </w:r>
    </w:p>
    <w:p w:rsidR="00713C92" w:rsidRPr="00713C92" w:rsidRDefault="00713C92" w:rsidP="00713C92">
      <w:pPr>
        <w:spacing w:after="0" w:line="240" w:lineRule="auto"/>
        <w:ind w:firstLine="255"/>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pregrijavanja, folija za prekrivanje i sl.)</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tlakomjer,slušalice,termometar</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lastRenderedPageBreak/>
        <w:t>3.2. Torba/kovčeg za reanimaciju</w:t>
      </w:r>
      <w:r w:rsidRPr="00713C92">
        <w:rPr>
          <w:rFonts w:ascii="Minion Pro" w:eastAsia="Times New Roman" w:hAnsi="Minion Pro" w:cs="Times New Roman"/>
          <w:i/>
          <w:iCs/>
          <w:color w:val="000000"/>
          <w:sz w:val="24"/>
          <w:szCs w:val="24"/>
          <w:bdr w:val="none" w:sz="0" w:space="0" w:color="auto" w:frame="1"/>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Prostor za smještaj opreme i pribora izveden sa stalnim i/ili promjenljivim pregradama.</w:t>
      </w:r>
    </w:p>
    <w:p w:rsidR="00713C92" w:rsidRPr="00713C92" w:rsidRDefault="00713C92" w:rsidP="00713C92">
      <w:pPr>
        <w:spacing w:after="0" w:line="240" w:lineRule="auto"/>
        <w:ind w:left="2880" w:hanging="288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Materijal vanjske obloge:</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eloksirani aluminij ili plastična masa otporna na mehanička oštećenja.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Težina i veličina primjerene čestom prijenosu i smještaju u mali prostor.</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Sadržaj:</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samošireći balon s rezervoarom i odgovarajućom valvulom te prozirnim maskama (u</w:t>
      </w: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veličinama za djecu i odrasle)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prijenosi sistem za isporuku kisika s odgovarajućim priborom primjerenim djeci i</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odraslima: </w:t>
      </w:r>
      <w:r w:rsidRPr="00713C92">
        <w:rPr>
          <w:rFonts w:ascii="Minion Pro" w:eastAsia="Times New Roman" w:hAnsi="Minion Pro" w:cs="Times New Roman"/>
          <w:color w:val="000000"/>
          <w:sz w:val="24"/>
          <w:szCs w:val="24"/>
          <w:bdr w:val="none" w:sz="0" w:space="0" w:color="auto" w:frame="1"/>
          <w:lang w:eastAsia="hr-HR"/>
        </w:rPr>
        <w:t>manometar</w:t>
      </w: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mjerač protoka</w:t>
      </w: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nosni kateteri maske s rezervoarom tzv. Ohio maske,</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mogućnost pogona crpke za sukciju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inhalator (nebulizator)</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-orofaringealni tubusi u veličinama od 000 - 5</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-nazofaringealni tubusi u veličinama za djecu i odrasle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-crpka za sukciju s priborom (mogućnost pogona rukom ili nogom,</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putem</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prijenosnog sistema za isporuku kisika ili električnim), </w:t>
      </w:r>
      <w:r w:rsidRPr="00713C92">
        <w:rPr>
          <w:rFonts w:ascii="Minion Pro" w:eastAsia="Times New Roman" w:hAnsi="Minion Pro" w:cs="Times New Roman"/>
          <w:color w:val="000000"/>
          <w:sz w:val="24"/>
          <w:szCs w:val="24"/>
          <w:bdr w:val="none" w:sz="0" w:space="0" w:color="auto" w:frame="1"/>
          <w:lang w:eastAsia="hr-HR"/>
        </w:rPr>
        <w:t>mekani kateteri za sukciju u različitim veličinama za djecu i odrasle,</w:t>
      </w: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posebno za sukciju novorođenčeta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Magillova hvataljka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pean</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komplet pribora za porod</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tlakomjer, slušalice, baterijska svjetiljka, termometar</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Dodatna moguća oprema: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infuzijske tekućine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pribor za infuziju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pribor za uspostavu venskoga puta: </w:t>
      </w:r>
      <w:r w:rsidRPr="00713C92">
        <w:rPr>
          <w:rFonts w:ascii="Minion Pro" w:eastAsia="Times New Roman" w:hAnsi="Minion Pro" w:cs="Times New Roman"/>
          <w:color w:val="000000"/>
          <w:sz w:val="24"/>
          <w:szCs w:val="24"/>
          <w:bdr w:val="none" w:sz="0" w:space="0" w:color="auto" w:frame="1"/>
          <w:lang w:eastAsia="hr-HR"/>
        </w:rPr>
        <w:t>venile 12G – 18G za odrasle</w:t>
      </w: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venile 18 G – 25G za djecu,</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baby sistem</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3.3. Prsluk za imobilizaciju i izvlačenje </w:t>
      </w:r>
      <w:r w:rsidRPr="00713C92">
        <w:rPr>
          <w:rFonts w:ascii="Minion Pro" w:eastAsia="Times New Roman" w:hAnsi="Minion Pro" w:cs="Times New Roman"/>
          <w:i/>
          <w:iCs/>
          <w:color w:val="000000"/>
          <w:sz w:val="24"/>
          <w:szCs w:val="24"/>
          <w:bdr w:val="none" w:sz="0" w:space="0" w:color="auto" w:frame="1"/>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3.4. Daske za imobilizaciju i izvlačenje s bočnim fiksatorima glave i remenjem za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bdr w:val="none" w:sz="0" w:space="0" w:color="auto" w:frame="1"/>
          <w:lang w:eastAsia="hr-HR"/>
        </w:rPr>
        <w:t>       </w:t>
      </w:r>
      <w:r w:rsidRPr="00713C92">
        <w:rPr>
          <w:rFonts w:ascii="Minion Pro" w:eastAsia="Times New Roman" w:hAnsi="Minion Pro" w:cs="Times New Roman"/>
          <w:i/>
          <w:iCs/>
          <w:color w:val="000000"/>
          <w:sz w:val="24"/>
          <w:szCs w:val="24"/>
          <w:lang w:eastAsia="hr-HR"/>
        </w:rPr>
        <w:t>pričvršćivanje </w:t>
      </w:r>
      <w:r w:rsidRPr="00713C92">
        <w:rPr>
          <w:rFonts w:ascii="Minion Pro" w:eastAsia="Times New Roman" w:hAnsi="Minion Pro" w:cs="Times New Roman"/>
          <w:i/>
          <w:iCs/>
          <w:color w:val="000000"/>
          <w:sz w:val="24"/>
          <w:szCs w:val="24"/>
          <w:bdr w:val="none" w:sz="0" w:space="0" w:color="auto" w:frame="1"/>
          <w:lang w:eastAsia="hr-HR"/>
        </w:rPr>
        <w:t>(za odrasle i djecu)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3.5. Rasklopna nosila (tzv. nosila za politraumu), </w:t>
      </w:r>
      <w:r w:rsidRPr="00713C92">
        <w:rPr>
          <w:rFonts w:ascii="Minion Pro" w:eastAsia="Times New Roman" w:hAnsi="Minion Pro" w:cs="Times New Roman"/>
          <w:i/>
          <w:iCs/>
          <w:color w:val="000000"/>
          <w:sz w:val="24"/>
          <w:szCs w:val="24"/>
          <w:bdr w:val="none" w:sz="0" w:space="0" w:color="auto" w:frame="1"/>
          <w:lang w:eastAsia="hr-HR"/>
        </w:rPr>
        <w:t>s pripadajućim priborom i</w:t>
      </w:r>
      <w:r w:rsidRPr="00713C92">
        <w:rPr>
          <w:rFonts w:ascii="Minion Pro" w:eastAsia="Times New Roman" w:hAnsi="Minion Pro" w:cs="Times New Roman"/>
          <w:i/>
          <w:iCs/>
          <w:color w:val="000000"/>
          <w:sz w:val="24"/>
          <w:szCs w:val="24"/>
          <w:lang w:eastAsia="hr-HR"/>
        </w:rPr>
        <w:t> </w:t>
      </w:r>
      <w:r w:rsidRPr="00713C92">
        <w:rPr>
          <w:rFonts w:ascii="Minion Pro" w:eastAsia="Times New Roman" w:hAnsi="Minion Pro" w:cs="Times New Roman"/>
          <w:i/>
          <w:iCs/>
          <w:color w:val="000000"/>
          <w:sz w:val="24"/>
          <w:szCs w:val="24"/>
          <w:bdr w:val="none" w:sz="0" w:space="0" w:color="auto" w:frame="1"/>
          <w:lang w:eastAsia="hr-HR"/>
        </w:rPr>
        <w:t>mogućnošću</w:t>
      </w:r>
    </w:p>
    <w:p w:rsidR="00713C92" w:rsidRPr="00713C92" w:rsidRDefault="00713C92" w:rsidP="00713C92">
      <w:pPr>
        <w:spacing w:after="0" w:line="240" w:lineRule="auto"/>
        <w:ind w:left="426"/>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uporabe u vodi.</w:t>
      </w: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Nosila se rasklapaju po uzdužnoj osovini, promjenjiva dužina.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3.6. Vakum madrac sa ručnom crpkom</w:t>
      </w:r>
    </w:p>
    <w:p w:rsidR="00713C92" w:rsidRPr="00713C92" w:rsidRDefault="00713C92" w:rsidP="00713C92">
      <w:pPr>
        <w:spacing w:after="0" w:line="240" w:lineRule="auto"/>
        <w:ind w:left="68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najmanje dužine 180 cm</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3.7. Set okovratnika za imobilizaciju vratne kralježnice</w:t>
      </w:r>
    </w:p>
    <w:p w:rsidR="00713C92" w:rsidRPr="00713C92" w:rsidRDefault="00713C92" w:rsidP="00713C92">
      <w:pPr>
        <w:spacing w:after="0" w:line="240" w:lineRule="auto"/>
        <w:ind w:left="68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po 3 različite veličine za djecu i odrasle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3.8. Udlage za imobilizaciju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bdr w:val="none" w:sz="0" w:space="0" w:color="auto" w:frame="1"/>
          <w:lang w:eastAsia="hr-HR"/>
        </w:rPr>
        <w:t>            </w:t>
      </w:r>
      <w:r w:rsidRPr="00713C92">
        <w:rPr>
          <w:rFonts w:ascii="Minion Pro" w:eastAsia="Times New Roman" w:hAnsi="Minion Pro" w:cs="Times New Roman"/>
          <w:b/>
          <w:bCs/>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veličinom primjerene djeci i odraslima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3.9. Platnena nosila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Dodatna moguća oprema:</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prijenosni pulsni oksimetar </w:t>
      </w:r>
      <w:r w:rsidRPr="00713C92">
        <w:rPr>
          <w:rFonts w:ascii="Minion Pro" w:eastAsia="Times New Roman" w:hAnsi="Minion Pro" w:cs="Times New Roman"/>
          <w:color w:val="000000"/>
          <w:sz w:val="24"/>
          <w:szCs w:val="24"/>
          <w:bdr w:val="none" w:sz="0" w:space="0" w:color="auto" w:frame="1"/>
          <w:lang w:eastAsia="hr-HR"/>
        </w:rPr>
        <w:t>(sa senzorom za djecu i odrasle)</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Times New Roman" w:eastAsia="Times New Roman" w:hAnsi="Times New Roman" w:cs="Times New Roman"/>
          <w:color w:val="000000"/>
          <w:sz w:val="24"/>
          <w:szCs w:val="24"/>
          <w:lang w:eastAsia="hr-HR"/>
        </w:rPr>
        <w:t>glukometar</w:t>
      </w:r>
    </w:p>
    <w:p w:rsidR="00713C92" w:rsidRPr="00713C92" w:rsidRDefault="00713C92" w:rsidP="00713C92">
      <w:pPr>
        <w:spacing w:after="0" w:line="240" w:lineRule="auto"/>
        <w:ind w:left="360" w:hanging="36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w:t>
      </w:r>
      <w:r w:rsidRPr="00713C92">
        <w:rPr>
          <w:rFonts w:ascii="Times New Roman" w:eastAsia="Times New Roman" w:hAnsi="Times New Roman" w:cs="Times New Roman"/>
          <w:color w:val="000000"/>
          <w:sz w:val="14"/>
          <w:szCs w:val="14"/>
          <w:bdr w:val="none" w:sz="0" w:space="0" w:color="auto" w:frame="1"/>
          <w:lang w:eastAsia="hr-HR"/>
        </w:rPr>
        <w:t>         </w:t>
      </w:r>
      <w:r w:rsidRPr="00713C92">
        <w:rPr>
          <w:rFonts w:ascii="Minion Pro" w:eastAsia="Times New Roman" w:hAnsi="Minion Pro" w:cs="Times New Roman"/>
          <w:color w:val="000000"/>
          <w:sz w:val="24"/>
          <w:szCs w:val="24"/>
          <w:bdr w:val="none" w:sz="0" w:space="0" w:color="auto" w:frame="1"/>
          <w:lang w:eastAsia="hr-HR"/>
        </w:rPr>
        <w:t>automatski vanjski defibrilator</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4. Tehnička oprema vozila za hitni prijevoz</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lastRenderedPageBreak/>
        <w:t>- elektronska sirena smještena na prednjem dijelu krova vozila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tri plava rotacijska svjetla (dva smještena na prednjem dijelu krova i jedno na zadnjem dijelu</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krova)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krovni ventilator smjer okretanja lijevo - desno</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sustav radio veze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priprema električne instalacije za priključak mobitela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unutarnje obloge bolesničkog prostora za bočne stijene, krov i vrata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podna obloga od neklizajućeg materijala, otporna na sredstva za pranje i dezinfekciju i na</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mehanička oštećenja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ostale obloge od plastičnog materijala, otporne na sredstva za pranje i dezinfekciju i na</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mehanička oštećenja</w:t>
      </w: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termički izolirane bočne i krovne obloge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flourencentna rasvjeta za dodatno osvjetljenje bolesničkog prostora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utičnica napajanja 12 V (DC)</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krovni nosači boca za infuziju (2 kom)</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podnožje boce za kisik</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boca za kisik zapremnine 10 L u prostoru vozača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prostor izveden za smještaj odgovarajuće med. opreme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kardiološka stolica sa sigurnosnim pojasom, sklopiva, smještena na desnoj strani</w:t>
      </w:r>
    </w:p>
    <w:p w:rsidR="00713C92" w:rsidRPr="00713C92" w:rsidRDefault="00713C92" w:rsidP="00713C92">
      <w:pPr>
        <w:spacing w:after="0" w:line="240" w:lineRule="auto"/>
        <w:ind w:left="142"/>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pregradne stijene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sjedalo učvršćeno na pregradnoj stijeni, postavljeno u produženju uzdužne osi glavnih nosila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preklopna sjedala smještena na desnoj strani bolesničkog prostora (2 kom)</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dodatna složiva nosila na desnoj strani bolesničkog prostora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glavna nosila samoutovarnog tipa </w:t>
      </w:r>
      <w:r w:rsidRPr="00713C92">
        <w:rPr>
          <w:rFonts w:ascii="Minion Pro" w:eastAsia="Times New Roman" w:hAnsi="Minion Pro" w:cs="Times New Roman"/>
          <w:color w:val="000000"/>
          <w:sz w:val="24"/>
          <w:szCs w:val="24"/>
          <w:bdr w:val="none" w:sz="0" w:space="0" w:color="auto" w:frame="1"/>
          <w:lang w:eastAsia="hr-HR"/>
        </w:rPr>
        <w:t>na preklopnim nogama s kotačima,</w:t>
      </w:r>
      <w:r w:rsidRPr="00713C92">
        <w:rPr>
          <w:rFonts w:ascii="Times New Roman" w:eastAsia="Times New Roman" w:hAnsi="Times New Roman" w:cs="Times New Roman"/>
          <w:color w:val="000000"/>
          <w:sz w:val="24"/>
          <w:szCs w:val="24"/>
          <w:lang w:eastAsia="hr-HR"/>
        </w:rPr>
        <w:t> </w:t>
      </w:r>
      <w:r w:rsidRPr="00713C92">
        <w:rPr>
          <w:rFonts w:ascii="Minion Pro" w:eastAsia="Times New Roman" w:hAnsi="Minion Pro" w:cs="Times New Roman"/>
          <w:color w:val="000000"/>
          <w:sz w:val="24"/>
          <w:szCs w:val="24"/>
          <w:bdr w:val="none" w:sz="0" w:space="0" w:color="auto" w:frame="1"/>
          <w:lang w:eastAsia="hr-HR"/>
        </w:rPr>
        <w:t>podloga ispod madraca</w:t>
      </w:r>
    </w:p>
    <w:p w:rsidR="00713C92" w:rsidRPr="00713C92" w:rsidRDefault="00713C92" w:rsidP="00713C92">
      <w:pPr>
        <w:spacing w:after="0" w:line="240" w:lineRule="auto"/>
        <w:ind w:firstLine="284"/>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izrađena od aluminijske ploče za potrebe oživljavanja, mogućnost fiksiranja bolesnika,</w:t>
      </w:r>
    </w:p>
    <w:p w:rsidR="00713C92" w:rsidRPr="00713C92" w:rsidRDefault="00713C92" w:rsidP="00713C92">
      <w:pPr>
        <w:spacing w:after="0" w:line="240" w:lineRule="auto"/>
        <w:ind w:left="24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hvataljke na nosilima teleskopske ili preklopne, postolje nosila izvedeno tako da pomicanjem u raznim  smjerovima omogućuje nesmetan pristup i promjenu položaja  bolesnika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hvataljke za držanje iznad sjedala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sigurnosni automatski pojasevi za sva sjedala</w:t>
      </w:r>
    </w:p>
    <w:p w:rsidR="00713C92" w:rsidRPr="00713C92" w:rsidRDefault="00713C92" w:rsidP="00713C92">
      <w:pPr>
        <w:spacing w:after="0" w:line="240" w:lineRule="auto"/>
        <w:ind w:firstLine="720"/>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Ostala oprema: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pokrivači i plahte</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prijenosna svijetiljka veće svijetlosne snage (mogućnost punjenja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baterija)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oprema za oslobađanje osoba iz vozila (jednostavna mehanička oprema)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uređaj za gašenje požara S-6 (prah 6 kg)</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zemljovid (prometni pravci s oznakama naselja i udaljenosti)</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školska kreda ili slično za obilježavanje položaja sudionika u prometnoj nezgodi</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posuda za dispoziciju kontaminiranog materijala</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dozator sa sredstvom za dezinfekciju ruku</w:t>
      </w:r>
    </w:p>
    <w:p w:rsidR="00713C92" w:rsidRPr="00713C92" w:rsidRDefault="00713C92" w:rsidP="00713C92">
      <w:pPr>
        <w:spacing w:after="0" w:line="240" w:lineRule="auto"/>
        <w:jc w:val="both"/>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obrasci za vođenje medicinske i ostale dokumentacije</w:t>
      </w:r>
    </w:p>
    <w:p w:rsidR="00713C92" w:rsidRPr="00713C92" w:rsidRDefault="00713C92" w:rsidP="00713C92">
      <w:pPr>
        <w:spacing w:after="0" w:line="240" w:lineRule="auto"/>
        <w:ind w:firstLine="720"/>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ind w:firstLine="720"/>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ind w:firstLine="720"/>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bdr w:val="none" w:sz="0" w:space="0" w:color="auto" w:frame="1"/>
          <w:lang w:val="de-DE" w:eastAsia="hr-HR"/>
        </w:rPr>
        <w:t>Prilog</w:t>
      </w:r>
      <w:r w:rsidRPr="00713C92">
        <w:rPr>
          <w:rFonts w:ascii="Minion Pro" w:eastAsia="Times New Roman" w:hAnsi="Minion Pro" w:cs="Times New Roman"/>
          <w:b/>
          <w:bCs/>
          <w:color w:val="000000"/>
          <w:sz w:val="24"/>
          <w:szCs w:val="24"/>
          <w:lang w:eastAsia="hr-HR"/>
        </w:rPr>
        <w:t> 9.</w:t>
      </w:r>
      <w:r w:rsidRPr="00713C92">
        <w:rPr>
          <w:rFonts w:ascii="Minion Pro" w:eastAsia="Times New Roman" w:hAnsi="Minion Pro" w:cs="Times New Roman"/>
          <w:b/>
          <w:bCs/>
          <w:color w:val="000000"/>
          <w:sz w:val="24"/>
          <w:szCs w:val="24"/>
          <w:bdr w:val="none" w:sz="0" w:space="0" w:color="auto" w:frame="1"/>
          <w:lang w:eastAsia="hr-HR"/>
        </w:rPr>
        <w:t> </w:t>
      </w:r>
    </w:p>
    <w:p w:rsidR="00713C92" w:rsidRPr="00713C92" w:rsidRDefault="00713C92" w:rsidP="00713C92">
      <w:pPr>
        <w:spacing w:after="0" w:line="240" w:lineRule="auto"/>
        <w:textAlignment w:val="baseline"/>
        <w:outlineLvl w:val="2"/>
        <w:rPr>
          <w:rFonts w:ascii="Minion Pro" w:eastAsia="Times New Roman" w:hAnsi="Minion Pro" w:cs="Times New Roman"/>
          <w:b/>
          <w:bCs/>
          <w:color w:val="000000"/>
          <w:sz w:val="28"/>
          <w:szCs w:val="28"/>
          <w:lang w:eastAsia="hr-HR"/>
        </w:rPr>
      </w:pPr>
      <w:r w:rsidRPr="00713C92">
        <w:rPr>
          <w:rFonts w:ascii="Minion Pro" w:eastAsia="Times New Roman" w:hAnsi="Minion Pro" w:cs="Times New Roman"/>
          <w:b/>
          <w:bCs/>
          <w:color w:val="000000"/>
          <w:sz w:val="24"/>
          <w:szCs w:val="24"/>
          <w:bdr w:val="none" w:sz="0" w:space="0" w:color="auto" w:frame="1"/>
          <w:lang w:eastAsia="hr-HR"/>
        </w:rPr>
        <w:t> </w:t>
      </w:r>
    </w:p>
    <w:p w:rsidR="00713C92" w:rsidRPr="00713C92" w:rsidRDefault="00713C92" w:rsidP="00713C92">
      <w:pPr>
        <w:spacing w:after="0" w:line="240" w:lineRule="auto"/>
        <w:jc w:val="center"/>
        <w:textAlignment w:val="baseline"/>
        <w:outlineLvl w:val="2"/>
        <w:rPr>
          <w:rFonts w:ascii="Minion Pro" w:eastAsia="Times New Roman" w:hAnsi="Minion Pro" w:cs="Times New Roman"/>
          <w:b/>
          <w:bCs/>
          <w:color w:val="000000"/>
          <w:sz w:val="28"/>
          <w:szCs w:val="28"/>
          <w:lang w:eastAsia="hr-HR"/>
        </w:rPr>
      </w:pPr>
      <w:r w:rsidRPr="00713C92">
        <w:rPr>
          <w:rFonts w:ascii="Minion Pro" w:eastAsia="Times New Roman" w:hAnsi="Minion Pro" w:cs="Times New Roman"/>
          <w:b/>
          <w:bCs/>
          <w:color w:val="000000"/>
          <w:sz w:val="24"/>
          <w:szCs w:val="24"/>
          <w:bdr w:val="none" w:sz="0" w:space="0" w:color="auto" w:frame="1"/>
          <w:lang w:val="de-DE" w:eastAsia="hr-HR"/>
        </w:rPr>
        <w:t>POPIS OBVEZNIH LIJEKOVA U SREDSTVIMA ZA PRIJEVOZ</w:t>
      </w:r>
      <w:r w:rsidRPr="00713C92">
        <w:rPr>
          <w:rFonts w:ascii="Minion Pro" w:eastAsia="Times New Roman" w:hAnsi="Minion Pro" w:cs="Times New Roman"/>
          <w:b/>
          <w:bCs/>
          <w:color w:val="000000"/>
          <w:sz w:val="24"/>
          <w:szCs w:val="24"/>
          <w:bdr w:val="none" w:sz="0" w:space="0" w:color="auto" w:frame="1"/>
          <w:lang w:eastAsia="hr-HR"/>
        </w:rPr>
        <w:br/>
      </w:r>
      <w:r w:rsidRPr="00713C92">
        <w:rPr>
          <w:rFonts w:ascii="Minion Pro" w:eastAsia="Times New Roman" w:hAnsi="Minion Pro" w:cs="Times New Roman"/>
          <w:b/>
          <w:bCs/>
          <w:color w:val="000000"/>
          <w:sz w:val="24"/>
          <w:szCs w:val="24"/>
          <w:bdr w:val="none" w:sz="0" w:space="0" w:color="auto" w:frame="1"/>
          <w:lang w:val="de-DE" w:eastAsia="hr-HR"/>
        </w:rPr>
        <w:t>U IZVANBOLNI</w:t>
      </w:r>
      <w:r w:rsidRPr="00713C92">
        <w:rPr>
          <w:rFonts w:ascii="Minion Pro" w:eastAsia="Times New Roman" w:hAnsi="Minion Pro" w:cs="Times New Roman"/>
          <w:b/>
          <w:bCs/>
          <w:color w:val="000000"/>
          <w:sz w:val="24"/>
          <w:szCs w:val="24"/>
          <w:bdr w:val="none" w:sz="0" w:space="0" w:color="auto" w:frame="1"/>
          <w:lang w:eastAsia="hr-HR"/>
        </w:rPr>
        <w:t>Č</w:t>
      </w:r>
      <w:r w:rsidRPr="00713C92">
        <w:rPr>
          <w:rFonts w:ascii="Minion Pro" w:eastAsia="Times New Roman" w:hAnsi="Minion Pro" w:cs="Times New Roman"/>
          <w:b/>
          <w:bCs/>
          <w:color w:val="000000"/>
          <w:sz w:val="24"/>
          <w:szCs w:val="24"/>
          <w:bdr w:val="none" w:sz="0" w:space="0" w:color="auto" w:frame="1"/>
          <w:lang w:val="de-DE" w:eastAsia="hr-HR"/>
        </w:rPr>
        <w:t>KOJ HITNOJ MEDICINSKOJ POMO</w:t>
      </w:r>
      <w:r w:rsidRPr="00713C92">
        <w:rPr>
          <w:rFonts w:ascii="Minion Pro" w:eastAsia="Times New Roman" w:hAnsi="Minion Pro" w:cs="Times New Roman"/>
          <w:b/>
          <w:bCs/>
          <w:color w:val="000000"/>
          <w:sz w:val="24"/>
          <w:szCs w:val="24"/>
          <w:bdr w:val="none" w:sz="0" w:space="0" w:color="auto" w:frame="1"/>
          <w:lang w:eastAsia="hr-HR"/>
        </w:rPr>
        <w:t>Ć</w:t>
      </w:r>
      <w:r w:rsidRPr="00713C92">
        <w:rPr>
          <w:rFonts w:ascii="Minion Pro" w:eastAsia="Times New Roman" w:hAnsi="Minion Pro" w:cs="Times New Roman"/>
          <w:b/>
          <w:bCs/>
          <w:color w:val="000000"/>
          <w:sz w:val="24"/>
          <w:szCs w:val="24"/>
          <w:bdr w:val="none" w:sz="0" w:space="0" w:color="auto" w:frame="1"/>
          <w:lang w:val="de-DE" w:eastAsia="hr-HR"/>
        </w:rPr>
        <w:t>I</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b/>
          <w:bCs/>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bdr w:val="none" w:sz="0" w:space="0" w:color="auto" w:frame="1"/>
          <w:lang w:val="de-DE" w:eastAsia="hr-HR"/>
        </w:rPr>
        <w:t>Lijekovi za parenteralnu primjenu</w:t>
      </w:r>
      <w:r w:rsidRPr="00713C92">
        <w:rPr>
          <w:rFonts w:ascii="Minion Pro" w:eastAsia="Times New Roman" w:hAnsi="Minion Pro" w:cs="Times New Roman"/>
          <w:i/>
          <w:iCs/>
          <w:color w:val="000000"/>
          <w:sz w:val="24"/>
          <w:szCs w:val="24"/>
          <w:lang w:eastAsia="hr-HR"/>
        </w:rPr>
        <w:t>:</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Adrenalin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lastRenderedPageBreak/>
        <w:t>Aminofilin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Amiodaron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Atropin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val="de-DE" w:eastAsia="hr-HR"/>
        </w:rPr>
        <w:t>Biperiden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val="de-DE" w:eastAsia="hr-HR"/>
        </w:rPr>
        <w:t>Deksametazon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val="de-DE" w:eastAsia="hr-HR"/>
        </w:rPr>
        <w:t>Diazepam</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val="de-DE" w:eastAsia="hr-HR"/>
        </w:rPr>
        <w:t>Diklofenak</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Furosemid</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Glukoza</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50 %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Haloperidol</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Hioscin butilbromid</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Ketoprofen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Kloropiramin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Lidokain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Metildigoksin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Metamizol</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Metilprednizolon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val="de-DE" w:eastAsia="hr-HR"/>
        </w:rPr>
        <w:t>Metoklopramid (Reglan)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val="de-DE" w:eastAsia="hr-HR"/>
        </w:rPr>
        <w:t>Morfin - klorid</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val="de-DE" w:eastAsia="hr-HR"/>
        </w:rPr>
        <w:t>Na-hidrogenkarbonat (8,4% + 4,2%)</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Nalokson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Oksitocin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Petidin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Promazin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Propafenon</w:t>
      </w:r>
      <w:r w:rsidRPr="00713C92">
        <w:rPr>
          <w:rFonts w:ascii="Minion Pro" w:eastAsia="Times New Roman" w:hAnsi="Minion Pro" w:cs="Times New Roman"/>
          <w:color w:val="000000"/>
          <w:sz w:val="24"/>
          <w:szCs w:val="24"/>
          <w:lang w:eastAsia="hr-HR"/>
        </w:rPr>
        <w:br/>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Ranitidin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Tietilperazin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Tramadol</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Urapidil</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Verapamil</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Fiziološka i destilirana voda u ampulama za razrjeđivanje</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u w:val="single"/>
          <w:lang w:eastAsia="hr-HR"/>
        </w:rPr>
        <w:t>Dodatne mogućnosti:</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Dopamin / Dobutamin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Ketamin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Adenozin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Midazolam</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Esmeron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Flumazenil</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Glukagon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Niskomolekularni heparin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Streptokinaza</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Ostali lijekovi:</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Acetilsalicilna kiselina tbl.</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Medicinski ugljen</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Isosorbid dinitrat tbl.</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Gliceriltrinitrat</w:t>
      </w:r>
      <w:r w:rsidRPr="00713C92">
        <w:rPr>
          <w:rFonts w:ascii="Minion Pro" w:eastAsia="Times New Roman" w:hAnsi="Minion Pro" w:cs="Times New Roman"/>
          <w:color w:val="000000"/>
          <w:sz w:val="24"/>
          <w:szCs w:val="24"/>
          <w:bdr w:val="none" w:sz="0" w:space="0" w:color="auto" w:frame="1"/>
          <w:lang w:eastAsia="hr-HR"/>
        </w:rPr>
        <w:t>  </w:t>
      </w:r>
      <w:r w:rsidRPr="00713C92">
        <w:rPr>
          <w:rFonts w:ascii="Times New Roman" w:eastAsia="Times New Roman" w:hAnsi="Times New Roman" w:cs="Times New Roman"/>
          <w:color w:val="000000"/>
          <w:sz w:val="24"/>
          <w:szCs w:val="24"/>
          <w:lang w:eastAsia="hr-HR"/>
        </w:rPr>
        <w:t>sprej</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Salbutamol sprej</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lastRenderedPageBreak/>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u w:val="single"/>
          <w:lang w:eastAsia="hr-HR"/>
        </w:rPr>
        <w:t>Dodatne mogućnosti:</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Paracetamol sup. za djecu</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Diklofenak sup. za djecu</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val="de-DE" w:eastAsia="hr-HR"/>
        </w:rPr>
        <w:t>Diazepam mikroklizme</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val="de-DE" w:eastAsia="hr-HR"/>
        </w:rPr>
        <w:t>Midazolam sprej</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color w:val="000000"/>
          <w:sz w:val="24"/>
          <w:szCs w:val="24"/>
          <w:bdr w:val="none" w:sz="0" w:space="0" w:color="auto" w:frame="1"/>
          <w:lang w:val="de-DE" w:eastAsia="hr-HR"/>
        </w:rPr>
        <w:t>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Minion Pro" w:eastAsia="Times New Roman" w:hAnsi="Minion Pro" w:cs="Times New Roman"/>
          <w:i/>
          <w:iCs/>
          <w:color w:val="000000"/>
          <w:sz w:val="24"/>
          <w:szCs w:val="24"/>
          <w:lang w:eastAsia="hr-HR"/>
        </w:rPr>
        <w:t>Infuzijske otopine </w:t>
      </w:r>
      <w:r w:rsidRPr="00713C92">
        <w:rPr>
          <w:rFonts w:ascii="Times New Roman" w:eastAsia="Times New Roman" w:hAnsi="Times New Roman" w:cs="Times New Roman"/>
          <w:color w:val="000000"/>
          <w:sz w:val="24"/>
          <w:szCs w:val="24"/>
          <w:lang w:eastAsia="hr-HR"/>
        </w:rPr>
        <w:t>(ambalažom prilagođene transportu /plastične vrećice):</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Natrijev klorid ( 0,9 % a 500 ml; 10 % a 20 ml)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Glukoza (5 % i 10 % a 500 ml )</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Plazmaekspanderi</w:t>
      </w:r>
    </w:p>
    <w:p w:rsidR="00713C92" w:rsidRPr="00713C92" w:rsidRDefault="00713C92" w:rsidP="00713C92">
      <w:pPr>
        <w:spacing w:after="0" w:line="240" w:lineRule="auto"/>
        <w:textAlignment w:val="baseline"/>
        <w:rPr>
          <w:rFonts w:ascii="Times New Roman" w:eastAsia="Times New Roman" w:hAnsi="Times New Roman" w:cs="Times New Roman"/>
          <w:color w:val="000000"/>
          <w:sz w:val="24"/>
          <w:szCs w:val="24"/>
          <w:lang w:eastAsia="hr-HR"/>
        </w:rPr>
      </w:pPr>
      <w:r w:rsidRPr="00713C92">
        <w:rPr>
          <w:rFonts w:ascii="Times New Roman" w:eastAsia="Times New Roman" w:hAnsi="Times New Roman" w:cs="Times New Roman"/>
          <w:color w:val="000000"/>
          <w:sz w:val="24"/>
          <w:szCs w:val="24"/>
          <w:lang w:eastAsia="hr-HR"/>
        </w:rPr>
        <w:t> </w:t>
      </w:r>
    </w:p>
    <w:p w:rsidR="00713C92" w:rsidRPr="00713C92" w:rsidRDefault="00713C92" w:rsidP="00713C92">
      <w:pPr>
        <w:spacing w:after="0" w:line="240" w:lineRule="auto"/>
        <w:ind w:firstLine="342"/>
        <w:jc w:val="both"/>
        <w:textAlignment w:val="baseline"/>
        <w:rPr>
          <w:rFonts w:ascii="Times-NewRoman" w:eastAsia="Times New Roman" w:hAnsi="Times-NewRoman" w:cs="Times New Roman"/>
          <w:color w:val="000000"/>
          <w:sz w:val="19"/>
          <w:szCs w:val="19"/>
          <w:lang w:eastAsia="hr-HR"/>
        </w:rPr>
      </w:pPr>
      <w:r w:rsidRPr="00713C92">
        <w:rPr>
          <w:rFonts w:ascii="Minion Pro" w:eastAsia="Times New Roman" w:hAnsi="Minion Pro" w:cs="Times New Roman"/>
          <w:color w:val="000000"/>
          <w:sz w:val="24"/>
          <w:szCs w:val="24"/>
          <w:bdr w:val="none" w:sz="0" w:space="0" w:color="auto" w:frame="1"/>
          <w:lang w:eastAsia="hr-HR"/>
        </w:rPr>
        <w:t> </w:t>
      </w:r>
    </w:p>
    <w:p w:rsidR="00713C92" w:rsidRPr="00713C92" w:rsidRDefault="00713C92" w:rsidP="00713C92">
      <w:pPr>
        <w:spacing w:line="240" w:lineRule="auto"/>
        <w:textAlignment w:val="baseline"/>
        <w:rPr>
          <w:rFonts w:ascii="Minion Pro" w:eastAsia="Times New Roman" w:hAnsi="Minion Pro" w:cs="Times New Roman"/>
          <w:color w:val="000000"/>
          <w:sz w:val="24"/>
          <w:szCs w:val="24"/>
          <w:lang w:eastAsia="hr-HR"/>
        </w:rPr>
      </w:pPr>
      <w:r w:rsidRPr="00713C92">
        <w:rPr>
          <w:rFonts w:ascii="Minion Pro" w:eastAsia="Times New Roman" w:hAnsi="Minion Pro" w:cs="Times New Roman"/>
          <w:noProof/>
          <w:color w:val="000000"/>
          <w:sz w:val="24"/>
          <w:szCs w:val="24"/>
          <w:lang w:eastAsia="hr-HR"/>
        </w:rPr>
        <w:lastRenderedPageBreak/>
        <w:drawing>
          <wp:inline distT="0" distB="0" distL="0" distR="0">
            <wp:extent cx="6191250" cy="8458200"/>
            <wp:effectExtent l="0" t="0" r="0" b="0"/>
            <wp:docPr id="11" name="Picture 11" descr="https://narodne-novine.nn.hr/clanci/sluzbeni/dodatni/3758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rodne-novine.nn.hr/clanci/sluzbeni/dodatni/375823.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0" cy="8458200"/>
                    </a:xfrm>
                    <a:prstGeom prst="rect">
                      <a:avLst/>
                    </a:prstGeom>
                    <a:noFill/>
                    <a:ln>
                      <a:noFill/>
                    </a:ln>
                  </pic:spPr>
                </pic:pic>
              </a:graphicData>
            </a:graphic>
          </wp:inline>
        </w:drawing>
      </w:r>
      <w:r w:rsidRPr="00713C92">
        <w:rPr>
          <w:rFonts w:ascii="Minion Pro" w:eastAsia="Times New Roman" w:hAnsi="Minion Pro" w:cs="Times New Roman"/>
          <w:color w:val="000000"/>
          <w:sz w:val="24"/>
          <w:szCs w:val="24"/>
          <w:lang w:eastAsia="hr-HR"/>
        </w:rPr>
        <w:br/>
      </w:r>
      <w:r w:rsidRPr="00713C92">
        <w:rPr>
          <w:rFonts w:ascii="Minion Pro" w:eastAsia="Times New Roman" w:hAnsi="Minion Pro" w:cs="Times New Roman"/>
          <w:noProof/>
          <w:color w:val="000000"/>
          <w:sz w:val="24"/>
          <w:szCs w:val="24"/>
          <w:lang w:eastAsia="hr-HR"/>
        </w:rPr>
        <w:lastRenderedPageBreak/>
        <w:drawing>
          <wp:inline distT="0" distB="0" distL="0" distR="0">
            <wp:extent cx="6667500" cy="5886450"/>
            <wp:effectExtent l="0" t="0" r="0" b="0"/>
            <wp:docPr id="10" name="Picture 10" descr="https://narodne-novine.nn.hr/clanci/sluzbeni/dodatni/375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rodne-novine.nn.hr/clanci/sluzbeni/dodatni/375824.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5886450"/>
                    </a:xfrm>
                    <a:prstGeom prst="rect">
                      <a:avLst/>
                    </a:prstGeom>
                    <a:noFill/>
                    <a:ln>
                      <a:noFill/>
                    </a:ln>
                  </pic:spPr>
                </pic:pic>
              </a:graphicData>
            </a:graphic>
          </wp:inline>
        </w:drawing>
      </w:r>
      <w:r w:rsidRPr="00713C92">
        <w:rPr>
          <w:rFonts w:ascii="Minion Pro" w:eastAsia="Times New Roman" w:hAnsi="Minion Pro" w:cs="Times New Roman"/>
          <w:color w:val="000000"/>
          <w:sz w:val="24"/>
          <w:szCs w:val="24"/>
          <w:lang w:eastAsia="hr-HR"/>
        </w:rPr>
        <w:br/>
      </w:r>
      <w:r w:rsidRPr="00713C92">
        <w:rPr>
          <w:rFonts w:ascii="Minion Pro" w:eastAsia="Times New Roman" w:hAnsi="Minion Pro" w:cs="Times New Roman"/>
          <w:noProof/>
          <w:color w:val="000000"/>
          <w:sz w:val="24"/>
          <w:szCs w:val="24"/>
          <w:lang w:eastAsia="hr-HR"/>
        </w:rPr>
        <w:lastRenderedPageBreak/>
        <w:drawing>
          <wp:inline distT="0" distB="0" distL="0" distR="0">
            <wp:extent cx="7620000" cy="6600825"/>
            <wp:effectExtent l="0" t="0" r="0" b="9525"/>
            <wp:docPr id="9" name="Picture 9" descr="https://narodne-novine.nn.hr/clanci/sluzbeni/dodatni/3758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rodne-novine.nn.hr/clanci/sluzbeni/dodatni/375825.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6600825"/>
                    </a:xfrm>
                    <a:prstGeom prst="rect">
                      <a:avLst/>
                    </a:prstGeom>
                    <a:noFill/>
                    <a:ln>
                      <a:noFill/>
                    </a:ln>
                  </pic:spPr>
                </pic:pic>
              </a:graphicData>
            </a:graphic>
          </wp:inline>
        </w:drawing>
      </w:r>
      <w:r w:rsidRPr="00713C92">
        <w:rPr>
          <w:rFonts w:ascii="Minion Pro" w:eastAsia="Times New Roman" w:hAnsi="Minion Pro" w:cs="Times New Roman"/>
          <w:color w:val="000000"/>
          <w:sz w:val="24"/>
          <w:szCs w:val="24"/>
          <w:lang w:eastAsia="hr-HR"/>
        </w:rPr>
        <w:br/>
      </w:r>
      <w:r w:rsidRPr="00713C92">
        <w:rPr>
          <w:rFonts w:ascii="Minion Pro" w:eastAsia="Times New Roman" w:hAnsi="Minion Pro" w:cs="Times New Roman"/>
          <w:noProof/>
          <w:color w:val="000000"/>
          <w:sz w:val="24"/>
          <w:szCs w:val="24"/>
          <w:lang w:eastAsia="hr-HR"/>
        </w:rPr>
        <w:lastRenderedPageBreak/>
        <w:drawing>
          <wp:inline distT="0" distB="0" distL="0" distR="0">
            <wp:extent cx="6315075" cy="8982075"/>
            <wp:effectExtent l="0" t="0" r="9525" b="9525"/>
            <wp:docPr id="8" name="Picture 8" descr="https://narodne-novine.nn.hr/clanci/sluzbeni/dodatni/375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rodne-novine.nn.hr/clanci/sluzbeni/dodatni/375826.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075" cy="8982075"/>
                    </a:xfrm>
                    <a:prstGeom prst="rect">
                      <a:avLst/>
                    </a:prstGeom>
                    <a:noFill/>
                    <a:ln>
                      <a:noFill/>
                    </a:ln>
                  </pic:spPr>
                </pic:pic>
              </a:graphicData>
            </a:graphic>
          </wp:inline>
        </w:drawing>
      </w:r>
      <w:r w:rsidRPr="00713C92">
        <w:rPr>
          <w:rFonts w:ascii="Minion Pro" w:eastAsia="Times New Roman" w:hAnsi="Minion Pro" w:cs="Times New Roman"/>
          <w:color w:val="000000"/>
          <w:sz w:val="24"/>
          <w:szCs w:val="24"/>
          <w:lang w:eastAsia="hr-HR"/>
        </w:rPr>
        <w:br/>
      </w:r>
      <w:r w:rsidRPr="00713C92">
        <w:rPr>
          <w:rFonts w:ascii="Minion Pro" w:eastAsia="Times New Roman" w:hAnsi="Minion Pro" w:cs="Times New Roman"/>
          <w:noProof/>
          <w:color w:val="000000"/>
          <w:sz w:val="24"/>
          <w:szCs w:val="24"/>
          <w:lang w:eastAsia="hr-HR"/>
        </w:rPr>
        <w:lastRenderedPageBreak/>
        <w:drawing>
          <wp:inline distT="0" distB="0" distL="0" distR="0">
            <wp:extent cx="6191250" cy="8601075"/>
            <wp:effectExtent l="0" t="0" r="0" b="9525"/>
            <wp:docPr id="7" name="Picture 7" descr="https://narodne-novine.nn.hr/clanci/sluzbeni/dodatni/3758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rodne-novine.nn.hr/clanci/sluzbeni/dodatni/375827.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601075"/>
                    </a:xfrm>
                    <a:prstGeom prst="rect">
                      <a:avLst/>
                    </a:prstGeom>
                    <a:noFill/>
                    <a:ln>
                      <a:noFill/>
                    </a:ln>
                  </pic:spPr>
                </pic:pic>
              </a:graphicData>
            </a:graphic>
          </wp:inline>
        </w:drawing>
      </w:r>
      <w:r w:rsidRPr="00713C92">
        <w:rPr>
          <w:rFonts w:ascii="Minion Pro" w:eastAsia="Times New Roman" w:hAnsi="Minion Pro" w:cs="Times New Roman"/>
          <w:color w:val="000000"/>
          <w:sz w:val="24"/>
          <w:szCs w:val="24"/>
          <w:lang w:eastAsia="hr-HR"/>
        </w:rPr>
        <w:br/>
      </w:r>
      <w:r w:rsidRPr="00713C92">
        <w:rPr>
          <w:rFonts w:ascii="Minion Pro" w:eastAsia="Times New Roman" w:hAnsi="Minion Pro" w:cs="Times New Roman"/>
          <w:noProof/>
          <w:color w:val="000000"/>
          <w:sz w:val="24"/>
          <w:szCs w:val="24"/>
          <w:lang w:eastAsia="hr-HR"/>
        </w:rPr>
        <w:lastRenderedPageBreak/>
        <w:drawing>
          <wp:inline distT="0" distB="0" distL="0" distR="0">
            <wp:extent cx="6229350" cy="8620125"/>
            <wp:effectExtent l="0" t="0" r="0" b="9525"/>
            <wp:docPr id="6" name="Picture 6" descr="https://narodne-novine.nn.hr/clanci/sluzbeni/dodatni/3758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rodne-novine.nn.hr/clanci/sluzbeni/dodatni/375828.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0" cy="8620125"/>
                    </a:xfrm>
                    <a:prstGeom prst="rect">
                      <a:avLst/>
                    </a:prstGeom>
                    <a:noFill/>
                    <a:ln>
                      <a:noFill/>
                    </a:ln>
                  </pic:spPr>
                </pic:pic>
              </a:graphicData>
            </a:graphic>
          </wp:inline>
        </w:drawing>
      </w:r>
      <w:r w:rsidRPr="00713C92">
        <w:rPr>
          <w:rFonts w:ascii="Minion Pro" w:eastAsia="Times New Roman" w:hAnsi="Minion Pro" w:cs="Times New Roman"/>
          <w:color w:val="000000"/>
          <w:sz w:val="24"/>
          <w:szCs w:val="24"/>
          <w:lang w:eastAsia="hr-HR"/>
        </w:rPr>
        <w:br/>
      </w:r>
      <w:r w:rsidRPr="00713C92">
        <w:rPr>
          <w:rFonts w:ascii="Minion Pro" w:eastAsia="Times New Roman" w:hAnsi="Minion Pro" w:cs="Times New Roman"/>
          <w:noProof/>
          <w:color w:val="000000"/>
          <w:sz w:val="24"/>
          <w:szCs w:val="24"/>
          <w:lang w:eastAsia="hr-HR"/>
        </w:rPr>
        <w:lastRenderedPageBreak/>
        <w:drawing>
          <wp:inline distT="0" distB="0" distL="0" distR="0">
            <wp:extent cx="6191250" cy="8058150"/>
            <wp:effectExtent l="0" t="0" r="0" b="0"/>
            <wp:docPr id="5" name="Picture 5" descr="https://narodne-novine.nn.hr/clanci/sluzbeni/dodatni/3758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rodne-novine.nn.hr/clanci/sluzbeni/dodatni/375829.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8058150"/>
                    </a:xfrm>
                    <a:prstGeom prst="rect">
                      <a:avLst/>
                    </a:prstGeom>
                    <a:noFill/>
                    <a:ln>
                      <a:noFill/>
                    </a:ln>
                  </pic:spPr>
                </pic:pic>
              </a:graphicData>
            </a:graphic>
          </wp:inline>
        </w:drawing>
      </w:r>
      <w:r w:rsidRPr="00713C92">
        <w:rPr>
          <w:rFonts w:ascii="Minion Pro" w:eastAsia="Times New Roman" w:hAnsi="Minion Pro" w:cs="Times New Roman"/>
          <w:color w:val="000000"/>
          <w:sz w:val="24"/>
          <w:szCs w:val="24"/>
          <w:lang w:eastAsia="hr-HR"/>
        </w:rPr>
        <w:br/>
      </w:r>
      <w:r w:rsidRPr="00713C92">
        <w:rPr>
          <w:rFonts w:ascii="Minion Pro" w:eastAsia="Times New Roman" w:hAnsi="Minion Pro" w:cs="Times New Roman"/>
          <w:noProof/>
          <w:color w:val="000000"/>
          <w:sz w:val="24"/>
          <w:szCs w:val="24"/>
          <w:lang w:eastAsia="hr-HR"/>
        </w:rPr>
        <w:lastRenderedPageBreak/>
        <w:drawing>
          <wp:inline distT="0" distB="0" distL="0" distR="0">
            <wp:extent cx="6229350" cy="8515350"/>
            <wp:effectExtent l="0" t="0" r="0" b="0"/>
            <wp:docPr id="4" name="Picture 4" descr="https://narodne-novine.nn.hr/clanci/sluzbeni/dodatni/3758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rodne-novine.nn.hr/clanci/sluzbeni/dodatni/37583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9350" cy="8515350"/>
                    </a:xfrm>
                    <a:prstGeom prst="rect">
                      <a:avLst/>
                    </a:prstGeom>
                    <a:noFill/>
                    <a:ln>
                      <a:noFill/>
                    </a:ln>
                  </pic:spPr>
                </pic:pic>
              </a:graphicData>
            </a:graphic>
          </wp:inline>
        </w:drawing>
      </w:r>
      <w:r w:rsidRPr="00713C92">
        <w:rPr>
          <w:rFonts w:ascii="Minion Pro" w:eastAsia="Times New Roman" w:hAnsi="Minion Pro" w:cs="Times New Roman"/>
          <w:color w:val="000000"/>
          <w:sz w:val="24"/>
          <w:szCs w:val="24"/>
          <w:lang w:eastAsia="hr-HR"/>
        </w:rPr>
        <w:br/>
      </w:r>
      <w:r w:rsidRPr="00713C92">
        <w:rPr>
          <w:rFonts w:ascii="Minion Pro" w:eastAsia="Times New Roman" w:hAnsi="Minion Pro" w:cs="Times New Roman"/>
          <w:noProof/>
          <w:color w:val="000000"/>
          <w:sz w:val="24"/>
          <w:szCs w:val="24"/>
          <w:lang w:eastAsia="hr-HR"/>
        </w:rPr>
        <w:lastRenderedPageBreak/>
        <w:drawing>
          <wp:inline distT="0" distB="0" distL="0" distR="0">
            <wp:extent cx="6229350" cy="8829675"/>
            <wp:effectExtent l="0" t="0" r="0" b="9525"/>
            <wp:docPr id="3" name="Picture 3" descr="https://narodne-novine.nn.hr/clanci/sluzbeni/dodatni/375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rodne-novine.nn.hr/clanci/sluzbeni/dodatni/37583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350" cy="8829675"/>
                    </a:xfrm>
                    <a:prstGeom prst="rect">
                      <a:avLst/>
                    </a:prstGeom>
                    <a:noFill/>
                    <a:ln>
                      <a:noFill/>
                    </a:ln>
                  </pic:spPr>
                </pic:pic>
              </a:graphicData>
            </a:graphic>
          </wp:inline>
        </w:drawing>
      </w:r>
      <w:r w:rsidRPr="00713C92">
        <w:rPr>
          <w:rFonts w:ascii="Minion Pro" w:eastAsia="Times New Roman" w:hAnsi="Minion Pro" w:cs="Times New Roman"/>
          <w:color w:val="000000"/>
          <w:sz w:val="24"/>
          <w:szCs w:val="24"/>
          <w:lang w:eastAsia="hr-HR"/>
        </w:rPr>
        <w:br/>
      </w:r>
      <w:r w:rsidRPr="00713C92">
        <w:rPr>
          <w:rFonts w:ascii="Minion Pro" w:eastAsia="Times New Roman" w:hAnsi="Minion Pro" w:cs="Times New Roman"/>
          <w:noProof/>
          <w:color w:val="000000"/>
          <w:sz w:val="24"/>
          <w:szCs w:val="24"/>
          <w:lang w:eastAsia="hr-HR"/>
        </w:rPr>
        <w:lastRenderedPageBreak/>
        <w:drawing>
          <wp:inline distT="0" distB="0" distL="0" distR="0">
            <wp:extent cx="6191250" cy="8467725"/>
            <wp:effectExtent l="0" t="0" r="0" b="9525"/>
            <wp:docPr id="2" name="Picture 2" descr="https://narodne-novine.nn.hr/clanci/sluzbeni/dodatni/3758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rodne-novine.nn.hr/clanci/sluzbeni/dodatni/37583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8467725"/>
                    </a:xfrm>
                    <a:prstGeom prst="rect">
                      <a:avLst/>
                    </a:prstGeom>
                    <a:noFill/>
                    <a:ln>
                      <a:noFill/>
                    </a:ln>
                  </pic:spPr>
                </pic:pic>
              </a:graphicData>
            </a:graphic>
          </wp:inline>
        </w:drawing>
      </w:r>
      <w:r w:rsidRPr="00713C92">
        <w:rPr>
          <w:rFonts w:ascii="Minion Pro" w:eastAsia="Times New Roman" w:hAnsi="Minion Pro" w:cs="Times New Roman"/>
          <w:color w:val="000000"/>
          <w:sz w:val="24"/>
          <w:szCs w:val="24"/>
          <w:lang w:eastAsia="hr-HR"/>
        </w:rPr>
        <w:br/>
      </w:r>
      <w:r w:rsidRPr="00713C92">
        <w:rPr>
          <w:rFonts w:ascii="Minion Pro" w:eastAsia="Times New Roman" w:hAnsi="Minion Pro" w:cs="Times New Roman"/>
          <w:noProof/>
          <w:color w:val="000000"/>
          <w:sz w:val="24"/>
          <w:szCs w:val="24"/>
          <w:lang w:eastAsia="hr-HR"/>
        </w:rPr>
        <w:lastRenderedPageBreak/>
        <w:drawing>
          <wp:inline distT="0" distB="0" distL="0" distR="0">
            <wp:extent cx="6267450" cy="8629650"/>
            <wp:effectExtent l="0" t="0" r="0" b="0"/>
            <wp:docPr id="1" name="Picture 1" descr="https://narodne-novine.nn.hr/clanci/sluzbeni/dodatni/375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rodne-novine.nn.hr/clanci/sluzbeni/dodatni/37583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7450" cy="8629650"/>
                    </a:xfrm>
                    <a:prstGeom prst="rect">
                      <a:avLst/>
                    </a:prstGeom>
                    <a:noFill/>
                    <a:ln>
                      <a:noFill/>
                    </a:ln>
                  </pic:spPr>
                </pic:pic>
              </a:graphicData>
            </a:graphic>
          </wp:inline>
        </w:drawing>
      </w:r>
    </w:p>
    <w:p w:rsidR="008F5828" w:rsidRDefault="008F5828">
      <w:bookmarkStart w:id="0" w:name="_GoBack"/>
      <w:bookmarkEnd w:id="0"/>
    </w:p>
    <w:sectPr w:rsidR="008F58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inion Pro">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Arial CRO">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37C3B"/>
    <w:multiLevelType w:val="multilevel"/>
    <w:tmpl w:val="59FA3D6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507445"/>
    <w:multiLevelType w:val="multilevel"/>
    <w:tmpl w:val="7C3A64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93FF2"/>
    <w:multiLevelType w:val="multilevel"/>
    <w:tmpl w:val="B43857C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20A01"/>
    <w:multiLevelType w:val="multilevel"/>
    <w:tmpl w:val="D0689C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ED499B"/>
    <w:multiLevelType w:val="multilevel"/>
    <w:tmpl w:val="2042F7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076139"/>
    <w:multiLevelType w:val="multilevel"/>
    <w:tmpl w:val="074EA1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3C7DEF"/>
    <w:multiLevelType w:val="multilevel"/>
    <w:tmpl w:val="1EB8F0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A364C6"/>
    <w:multiLevelType w:val="multilevel"/>
    <w:tmpl w:val="B0647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4570EE"/>
    <w:multiLevelType w:val="multilevel"/>
    <w:tmpl w:val="3D3481C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C4547"/>
    <w:multiLevelType w:val="multilevel"/>
    <w:tmpl w:val="CB7865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D33FDC"/>
    <w:multiLevelType w:val="multilevel"/>
    <w:tmpl w:val="241006F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1D70D1"/>
    <w:multiLevelType w:val="multilevel"/>
    <w:tmpl w:val="9E580AA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4669A0"/>
    <w:multiLevelType w:val="multilevel"/>
    <w:tmpl w:val="D9763A3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825F24"/>
    <w:multiLevelType w:val="multilevel"/>
    <w:tmpl w:val="8A7076F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953509"/>
    <w:multiLevelType w:val="multilevel"/>
    <w:tmpl w:val="BB4032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8C15BE"/>
    <w:multiLevelType w:val="multilevel"/>
    <w:tmpl w:val="8DE2A57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3324D7"/>
    <w:multiLevelType w:val="multilevel"/>
    <w:tmpl w:val="FD2C3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786DBB"/>
    <w:multiLevelType w:val="multilevel"/>
    <w:tmpl w:val="DEE0B0B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
  </w:num>
  <w:num w:numId="3">
    <w:abstractNumId w:val="9"/>
  </w:num>
  <w:num w:numId="4">
    <w:abstractNumId w:val="3"/>
  </w:num>
  <w:num w:numId="5">
    <w:abstractNumId w:val="14"/>
  </w:num>
  <w:num w:numId="6">
    <w:abstractNumId w:val="4"/>
  </w:num>
  <w:num w:numId="7">
    <w:abstractNumId w:val="10"/>
  </w:num>
  <w:num w:numId="8">
    <w:abstractNumId w:val="8"/>
  </w:num>
  <w:num w:numId="9">
    <w:abstractNumId w:val="5"/>
  </w:num>
  <w:num w:numId="10">
    <w:abstractNumId w:val="6"/>
  </w:num>
  <w:num w:numId="11">
    <w:abstractNumId w:val="12"/>
  </w:num>
  <w:num w:numId="12">
    <w:abstractNumId w:val="11"/>
  </w:num>
  <w:num w:numId="13">
    <w:abstractNumId w:val="2"/>
  </w:num>
  <w:num w:numId="14">
    <w:abstractNumId w:val="13"/>
  </w:num>
  <w:num w:numId="15">
    <w:abstractNumId w:val="17"/>
  </w:num>
  <w:num w:numId="16">
    <w:abstractNumId w:val="0"/>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08C"/>
    <w:rsid w:val="006F108C"/>
    <w:rsid w:val="00713C92"/>
    <w:rsid w:val="008F582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9B5411-30F0-4C13-8520-7CD2F0F95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13C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Heading2">
    <w:name w:val="heading 2"/>
    <w:basedOn w:val="Normal"/>
    <w:link w:val="Heading2Char"/>
    <w:uiPriority w:val="9"/>
    <w:qFormat/>
    <w:rsid w:val="00713C92"/>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paragraph" w:styleId="Heading3">
    <w:name w:val="heading 3"/>
    <w:basedOn w:val="Normal"/>
    <w:link w:val="Heading3Char"/>
    <w:uiPriority w:val="9"/>
    <w:qFormat/>
    <w:rsid w:val="00713C92"/>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paragraph" w:styleId="Heading5">
    <w:name w:val="heading 5"/>
    <w:basedOn w:val="Normal"/>
    <w:link w:val="Heading5Char"/>
    <w:uiPriority w:val="9"/>
    <w:qFormat/>
    <w:rsid w:val="00713C92"/>
    <w:pPr>
      <w:spacing w:before="100" w:beforeAutospacing="1" w:after="100" w:afterAutospacing="1" w:line="240" w:lineRule="auto"/>
      <w:outlineLvl w:val="4"/>
    </w:pPr>
    <w:rPr>
      <w:rFonts w:ascii="Times New Roman" w:eastAsia="Times New Roman" w:hAnsi="Times New Roman" w:cs="Times New Roman"/>
      <w:b/>
      <w:bCs/>
      <w:sz w:val="2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C92"/>
    <w:rPr>
      <w:rFonts w:ascii="Times New Roman" w:eastAsia="Times New Roman" w:hAnsi="Times New Roman" w:cs="Times New Roman"/>
      <w:b/>
      <w:bCs/>
      <w:kern w:val="36"/>
      <w:sz w:val="48"/>
      <w:szCs w:val="48"/>
      <w:lang w:eastAsia="hr-HR"/>
    </w:rPr>
  </w:style>
  <w:style w:type="character" w:customStyle="1" w:styleId="Heading2Char">
    <w:name w:val="Heading 2 Char"/>
    <w:basedOn w:val="DefaultParagraphFont"/>
    <w:link w:val="Heading2"/>
    <w:uiPriority w:val="9"/>
    <w:rsid w:val="00713C92"/>
    <w:rPr>
      <w:rFonts w:ascii="Times New Roman" w:eastAsia="Times New Roman" w:hAnsi="Times New Roman" w:cs="Times New Roman"/>
      <w:b/>
      <w:bCs/>
      <w:sz w:val="36"/>
      <w:szCs w:val="36"/>
      <w:lang w:eastAsia="hr-HR"/>
    </w:rPr>
  </w:style>
  <w:style w:type="character" w:customStyle="1" w:styleId="Heading3Char">
    <w:name w:val="Heading 3 Char"/>
    <w:basedOn w:val="DefaultParagraphFont"/>
    <w:link w:val="Heading3"/>
    <w:uiPriority w:val="9"/>
    <w:rsid w:val="00713C92"/>
    <w:rPr>
      <w:rFonts w:ascii="Times New Roman" w:eastAsia="Times New Roman" w:hAnsi="Times New Roman" w:cs="Times New Roman"/>
      <w:b/>
      <w:bCs/>
      <w:sz w:val="27"/>
      <w:szCs w:val="27"/>
      <w:lang w:eastAsia="hr-HR"/>
    </w:rPr>
  </w:style>
  <w:style w:type="character" w:customStyle="1" w:styleId="Heading5Char">
    <w:name w:val="Heading 5 Char"/>
    <w:basedOn w:val="DefaultParagraphFont"/>
    <w:link w:val="Heading5"/>
    <w:uiPriority w:val="9"/>
    <w:rsid w:val="00713C92"/>
    <w:rPr>
      <w:rFonts w:ascii="Times New Roman" w:eastAsia="Times New Roman" w:hAnsi="Times New Roman" w:cs="Times New Roman"/>
      <w:b/>
      <w:bCs/>
      <w:sz w:val="20"/>
      <w:szCs w:val="20"/>
      <w:lang w:eastAsia="hr-HR"/>
    </w:rPr>
  </w:style>
  <w:style w:type="paragraph" w:customStyle="1" w:styleId="msonormal0">
    <w:name w:val="msonormal"/>
    <w:basedOn w:val="Normal"/>
    <w:rsid w:val="00713C9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rojdesno2">
    <w:name w:val="brojdesno2"/>
    <w:basedOn w:val="Normal"/>
    <w:rsid w:val="00713C9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2">
    <w:name w:val="t-98-2"/>
    <w:basedOn w:val="Normal"/>
    <w:rsid w:val="00713C9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119sred">
    <w:name w:val="t-119sred"/>
    <w:basedOn w:val="Normal"/>
    <w:rsid w:val="00713C9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713C9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klasa2">
    <w:name w:val="klasa2"/>
    <w:basedOn w:val="Normal"/>
    <w:rsid w:val="00713C9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otpisnik">
    <w:name w:val="potpisnik"/>
    <w:basedOn w:val="Normal"/>
    <w:rsid w:val="00713C9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rmalWeb">
    <w:name w:val="Normal (Web)"/>
    <w:basedOn w:val="Normal"/>
    <w:uiPriority w:val="99"/>
    <w:semiHidden/>
    <w:unhideWhenUsed/>
    <w:rsid w:val="00713C9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odyTextIndent">
    <w:name w:val="Body Text Indent"/>
    <w:basedOn w:val="Normal"/>
    <w:link w:val="BodyTextIndentChar"/>
    <w:uiPriority w:val="99"/>
    <w:semiHidden/>
    <w:unhideWhenUsed/>
    <w:rsid w:val="00713C9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dyTextIndentChar">
    <w:name w:val="Body Text Indent Char"/>
    <w:basedOn w:val="DefaultParagraphFont"/>
    <w:link w:val="BodyTextIndent"/>
    <w:uiPriority w:val="99"/>
    <w:semiHidden/>
    <w:rsid w:val="00713C92"/>
    <w:rPr>
      <w:rFonts w:ascii="Times New Roman" w:eastAsia="Times New Roman" w:hAnsi="Times New Roman" w:cs="Times New Roman"/>
      <w:sz w:val="24"/>
      <w:szCs w:val="24"/>
      <w:lang w:eastAsia="hr-HR"/>
    </w:rPr>
  </w:style>
  <w:style w:type="paragraph" w:styleId="BodyText">
    <w:name w:val="Body Text"/>
    <w:basedOn w:val="Normal"/>
    <w:link w:val="BodyTextChar"/>
    <w:uiPriority w:val="99"/>
    <w:semiHidden/>
    <w:unhideWhenUsed/>
    <w:rsid w:val="00713C9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dyTextChar">
    <w:name w:val="Body Text Char"/>
    <w:basedOn w:val="DefaultParagraphFont"/>
    <w:link w:val="BodyText"/>
    <w:uiPriority w:val="99"/>
    <w:semiHidden/>
    <w:rsid w:val="00713C92"/>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809842">
      <w:bodyDiv w:val="1"/>
      <w:marLeft w:val="0"/>
      <w:marRight w:val="0"/>
      <w:marTop w:val="0"/>
      <w:marBottom w:val="0"/>
      <w:divBdr>
        <w:top w:val="none" w:sz="0" w:space="0" w:color="auto"/>
        <w:left w:val="none" w:sz="0" w:space="0" w:color="auto"/>
        <w:bottom w:val="none" w:sz="0" w:space="0" w:color="auto"/>
        <w:right w:val="none" w:sz="0" w:space="0" w:color="auto"/>
      </w:divBdr>
      <w:divsChild>
        <w:div w:id="1160970601">
          <w:marLeft w:val="0"/>
          <w:marRight w:val="0"/>
          <w:marTop w:val="300"/>
          <w:marBottom w:val="450"/>
          <w:divBdr>
            <w:top w:val="none" w:sz="0" w:space="0" w:color="auto"/>
            <w:left w:val="none" w:sz="0" w:space="0" w:color="auto"/>
            <w:bottom w:val="none" w:sz="0" w:space="0" w:color="auto"/>
            <w:right w:val="none" w:sz="0" w:space="0" w:color="auto"/>
          </w:divBdr>
          <w:divsChild>
            <w:div w:id="1694573686">
              <w:marLeft w:val="0"/>
              <w:marRight w:val="0"/>
              <w:marTop w:val="0"/>
              <w:marBottom w:val="0"/>
              <w:divBdr>
                <w:top w:val="none" w:sz="0" w:space="0" w:color="auto"/>
                <w:left w:val="none" w:sz="0" w:space="0" w:color="auto"/>
                <w:bottom w:val="none" w:sz="0" w:space="0" w:color="auto"/>
                <w:right w:val="none" w:sz="0" w:space="0" w:color="auto"/>
              </w:divBdr>
              <w:divsChild>
                <w:div w:id="459225124">
                  <w:marLeft w:val="0"/>
                  <w:marRight w:val="0"/>
                  <w:marTop w:val="0"/>
                  <w:marBottom w:val="0"/>
                  <w:divBdr>
                    <w:top w:val="none" w:sz="0" w:space="0" w:color="auto"/>
                    <w:left w:val="none" w:sz="0" w:space="0" w:color="auto"/>
                    <w:bottom w:val="none" w:sz="0" w:space="0" w:color="auto"/>
                    <w:right w:val="none" w:sz="0" w:space="0" w:color="auto"/>
                  </w:divBdr>
                  <w:divsChild>
                    <w:div w:id="912159856">
                      <w:marLeft w:val="0"/>
                      <w:marRight w:val="0"/>
                      <w:marTop w:val="0"/>
                      <w:marBottom w:val="0"/>
                      <w:divBdr>
                        <w:top w:val="none" w:sz="0" w:space="0" w:color="auto"/>
                        <w:left w:val="none" w:sz="0" w:space="0" w:color="auto"/>
                        <w:bottom w:val="none" w:sz="0" w:space="0" w:color="auto"/>
                        <w:right w:val="none" w:sz="0" w:space="0" w:color="auto"/>
                      </w:divBdr>
                    </w:div>
                    <w:div w:id="2147122031">
                      <w:marLeft w:val="0"/>
                      <w:marRight w:val="0"/>
                      <w:marTop w:val="0"/>
                      <w:marBottom w:val="0"/>
                      <w:divBdr>
                        <w:top w:val="none" w:sz="0" w:space="0" w:color="auto"/>
                        <w:left w:val="none" w:sz="0" w:space="0" w:color="auto"/>
                        <w:bottom w:val="none" w:sz="0" w:space="0" w:color="auto"/>
                        <w:right w:val="none" w:sz="0" w:space="0" w:color="auto"/>
                      </w:divBdr>
                    </w:div>
                    <w:div w:id="1612204825">
                      <w:marLeft w:val="0"/>
                      <w:marRight w:val="0"/>
                      <w:marTop w:val="0"/>
                      <w:marBottom w:val="0"/>
                      <w:divBdr>
                        <w:top w:val="none" w:sz="0" w:space="0" w:color="auto"/>
                        <w:left w:val="none" w:sz="0" w:space="0" w:color="auto"/>
                        <w:bottom w:val="none" w:sz="0" w:space="0" w:color="auto"/>
                        <w:right w:val="none" w:sz="0" w:space="0" w:color="auto"/>
                      </w:divBdr>
                    </w:div>
                    <w:div w:id="10501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gif"/><Relationship Id="rId15" Type="http://schemas.openxmlformats.org/officeDocument/2006/relationships/image" Target="media/image11.gif"/><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8221</Words>
  <Characters>46864</Characters>
  <Application>Microsoft Office Word</Application>
  <DocSecurity>0</DocSecurity>
  <Lines>390</Lines>
  <Paragraphs>109</Paragraphs>
  <ScaleCrop>false</ScaleCrop>
  <Company/>
  <LinksUpToDate>false</LinksUpToDate>
  <CharactersWithSpaces>54976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Kristijan Morrison</dc:creator>
  <cp:keywords/>
  <dc:description/>
  <cp:lastModifiedBy>Kristijan Morrison</cp:lastModifiedBy>
  <cp:revision>3</cp:revision>
  <dcterms:created xsi:type="dcterms:W3CDTF">2017-10-16T10:18:00Z</dcterms:created>
  <dcterms:modified xsi:type="dcterms:W3CDTF">2017-10-16T10:18:00Z</dcterms:modified>
</cp:coreProperties>
</file>